
<file path=[Content_Types].xml><?xml version="1.0" encoding="utf-8"?>
<Types xmlns="http://schemas.openxmlformats.org/package/2006/content-types">
  <Override PartName="/_rels/.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4.png" ContentType="image/png"/>
  <Override PartName="/word/media/image3.png" ContentType="image/png"/>
  <Override PartName="/word/media/image2.png" ContentType="image/png"/>
  <Override PartName="/word/media/image7.png" ContentType="image/png"/>
  <Override PartName="/word/media/image22.png" ContentType="image/png"/>
  <Override PartName="/word/media/image1.png" ContentType="image/png"/>
  <Override PartName="/word/media/image6.png" ContentType="image/png"/>
  <Override PartName="/word/media/image21.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header1.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left w:val="single" w:sz="4" w:space="4" w:color="000000"/>
          <w:bottom w:val="single" w:sz="4" w:space="1" w:color="000000"/>
          <w:right w:val="single" w:sz="4" w:space="4" w:color="000000"/>
        </w:pBdr>
        <w:shd w:fill="7030A0" w:val="clear"/>
        <w:ind w:left="-284" w:right="-238" w:hanging="0"/>
        <w:jc w:val="center"/>
        <w:rPr>
          <w:rFonts w:ascii="Calibri" w:hAnsi="Calibri" w:cs="Calibri"/>
          <w:b/>
          <w:b/>
          <w:color w:val="FFFFFF"/>
          <w:sz w:val="22"/>
          <w:szCs w:val="22"/>
        </w:rPr>
      </w:pPr>
      <w:r>
        <w:rPr>
          <w:rFonts w:cs="Calibri" w:ascii="Calibri" w:hAnsi="Calibri"/>
          <w:b/>
          <w:color w:val="FFFFFF"/>
          <w:sz w:val="22"/>
          <w:szCs w:val="22"/>
        </w:rPr>
        <w:t>PROCES-VERBAL D’ACCORD DE LA NEGOCIATION ANNUELLE OBLIGATOIRE POUR L’ANNEE 2022</w:t>
      </w:r>
    </w:p>
    <w:p>
      <w:pPr>
        <w:pStyle w:val="Normal"/>
        <w:ind w:left="-426" w:right="-238" w:hanging="0"/>
        <w:rPr>
          <w:rFonts w:ascii="Calibri" w:hAnsi="Calibri" w:cs="Calibri"/>
          <w:b/>
          <w:b/>
          <w:color w:val="FFFFFF"/>
          <w:sz w:val="20"/>
          <w:szCs w:val="20"/>
        </w:rPr>
      </w:pPr>
      <w:r>
        <w:rPr>
          <w:rFonts w:cs="Calibri" w:ascii="Calibri" w:hAnsi="Calibri"/>
          <w:b/>
          <w:color w:val="FFFFFF"/>
          <w:sz w:val="20"/>
          <w:szCs w:val="20"/>
        </w:rPr>
      </w:r>
    </w:p>
    <w:p>
      <w:pPr>
        <w:pStyle w:val="NormalWeb"/>
        <w:ind w:left="-426" w:right="-238" w:hanging="0"/>
        <w:jc w:val="both"/>
        <w:rPr>
          <w:rFonts w:ascii="Calibri" w:hAnsi="Calibri" w:cs="Calibri"/>
          <w:sz w:val="20"/>
          <w:szCs w:val="20"/>
        </w:rPr>
      </w:pPr>
      <w:r>
        <w:rPr>
          <w:rFonts w:cs="Calibri" w:ascii="Calibri" w:hAnsi="Calibri"/>
          <w:b/>
          <w:sz w:val="20"/>
          <w:szCs w:val="20"/>
          <w:u w:val="single"/>
        </w:rPr>
        <w:t>ENTRE</w:t>
      </w:r>
      <w:r>
        <w:rPr>
          <w:rFonts w:cs="Calibri" w:ascii="Calibri" w:hAnsi="Calibri"/>
          <w:b/>
          <w:sz w:val="20"/>
          <w:szCs w:val="20"/>
        </w:rPr>
        <w:t xml:space="preserve"> :</w:t>
      </w:r>
    </w:p>
    <w:p>
      <w:pPr>
        <w:pStyle w:val="Texte"/>
        <w:ind w:left="-426" w:right="-238" w:hanging="0"/>
        <w:rPr>
          <w:rFonts w:ascii="Calibri" w:hAnsi="Calibri" w:eastAsia="Times New Roman" w:cs="Calibri"/>
          <w:sz w:val="20"/>
          <w:szCs w:val="20"/>
        </w:rPr>
      </w:pPr>
      <w:r>
        <w:rPr>
          <w:rFonts w:eastAsia="Times New Roman" w:cs="Calibri" w:ascii="Calibri" w:hAnsi="Calibri"/>
          <w:sz w:val="20"/>
          <w:szCs w:val="20"/>
        </w:rPr>
      </w:r>
    </w:p>
    <w:p>
      <w:pPr>
        <w:pStyle w:val="Texte"/>
        <w:ind w:left="-426" w:right="-238" w:hanging="0"/>
        <w:rPr>
          <w:rFonts w:ascii="Calibri" w:hAnsi="Calibri" w:eastAsia="Times New Roman" w:cs="Calibri"/>
          <w:sz w:val="20"/>
        </w:rPr>
      </w:pPr>
      <w:r>
        <w:rPr>
          <w:rFonts w:eastAsia="Times New Roman" w:cs="Calibri" w:ascii="Calibri" w:hAnsi="Calibri"/>
          <w:sz w:val="20"/>
        </w:rPr>
      </w:r>
    </w:p>
    <w:p>
      <w:pPr>
        <w:pStyle w:val="Texte"/>
        <w:ind w:left="-426" w:right="-238" w:hanging="0"/>
        <w:rPr>
          <w:rFonts w:ascii="Calibri" w:hAnsi="Calibri" w:eastAsia="Times New Roman" w:cs="Calibri"/>
          <w:sz w:val="20"/>
        </w:rPr>
      </w:pPr>
      <w:r>
        <w:rPr>
          <w:rFonts w:eastAsia="Times New Roman" w:cs="Calibri" w:ascii="Calibri" w:hAnsi="Calibri"/>
          <w:sz w:val="20"/>
        </w:rPr>
        <w:t>La société BearingPoint France SAS, Société au capital de 14 300 000 €, immatriculée au RCS de Nanterre sous le numéro 443 021 241, dont le siège social est situé Tour CBX, CS 70127, 1 Passerelle des Reflets, 92913 La Défense Cedex,</w:t>
      </w:r>
    </w:p>
    <w:p>
      <w:pPr>
        <w:pStyle w:val="Texte"/>
        <w:ind w:left="-426" w:right="-238" w:hanging="0"/>
        <w:rPr>
          <w:rFonts w:ascii="Calibri" w:hAnsi="Calibri" w:eastAsia="Times New Roman" w:cs="Calibri"/>
          <w:sz w:val="20"/>
        </w:rPr>
      </w:pPr>
      <w:r>
        <w:rPr>
          <w:rFonts w:eastAsia="Times New Roman" w:cs="Calibri" w:ascii="Calibri" w:hAnsi="Calibri"/>
          <w:sz w:val="20"/>
        </w:rPr>
      </w:r>
    </w:p>
    <w:p>
      <w:pPr>
        <w:pStyle w:val="Texte"/>
        <w:ind w:left="-426" w:right="-238" w:hanging="0"/>
        <w:rPr>
          <w:rFonts w:ascii="Calibri" w:hAnsi="Calibri" w:eastAsia="Times New Roman" w:cs="Calibri"/>
          <w:sz w:val="20"/>
        </w:rPr>
      </w:pPr>
      <w:r>
        <w:rPr>
          <w:rFonts w:eastAsia="Times New Roman" w:cs="Calibri" w:ascii="Calibri" w:hAnsi="Calibri"/>
          <w:sz w:val="20"/>
        </w:rPr>
        <w:t>La société Hypercube Research, Société à responsabilité limitée au capital de 1 300 000 €, immatriculée au RCS de Nanterre sous le numéro 481 750 719, dont le siège social est situé Tour CBX, CS 70127, 1 Passerelle des Reflets, 92913 La Défense Cedex,</w:t>
      </w:r>
    </w:p>
    <w:p>
      <w:pPr>
        <w:pStyle w:val="Texte"/>
        <w:ind w:left="-426" w:right="-238" w:hanging="0"/>
        <w:rPr>
          <w:rFonts w:ascii="Calibri" w:hAnsi="Calibri" w:eastAsia="Times New Roman" w:cs="Calibri"/>
          <w:sz w:val="20"/>
        </w:rPr>
      </w:pPr>
      <w:r>
        <w:rPr>
          <w:rFonts w:eastAsia="Times New Roman" w:cs="Calibri" w:ascii="Calibri" w:hAnsi="Calibri"/>
          <w:sz w:val="20"/>
        </w:rPr>
      </w:r>
    </w:p>
    <w:p>
      <w:pPr>
        <w:pStyle w:val="Texte"/>
        <w:ind w:left="-426" w:right="-238" w:hanging="0"/>
        <w:rPr>
          <w:rFonts w:ascii="Calibri" w:hAnsi="Calibri" w:eastAsia="Times New Roman" w:cs="Calibri"/>
          <w:sz w:val="20"/>
        </w:rPr>
      </w:pPr>
      <w:r>
        <w:rPr>
          <w:rFonts w:eastAsia="Times New Roman" w:cs="Calibri" w:ascii="Calibri" w:hAnsi="Calibri"/>
          <w:sz w:val="20"/>
        </w:rPr>
        <w:t xml:space="preserve">La société Arcwide France, Société par Actions Simplifiée au capital de 100 €, immatriculée au RCS de Nanterre sous le numéro 908 569 486, dont le siège social est situé Tour CBX, 1 Passerelle des Reflets, 92913 La Défense Cedex, </w:t>
      </w:r>
    </w:p>
    <w:p>
      <w:pPr>
        <w:pStyle w:val="Texte"/>
        <w:ind w:left="-426" w:right="-238" w:hanging="0"/>
        <w:rPr>
          <w:rFonts w:ascii="Calibri" w:hAnsi="Calibri" w:eastAsia="Times New Roman" w:cs="Calibri"/>
          <w:sz w:val="20"/>
        </w:rPr>
      </w:pPr>
      <w:r>
        <w:rPr>
          <w:rFonts w:eastAsia="Times New Roman" w:cs="Calibri" w:ascii="Calibri" w:hAnsi="Calibri"/>
          <w:sz w:val="20"/>
        </w:rPr>
      </w:r>
    </w:p>
    <w:p>
      <w:pPr>
        <w:pStyle w:val="Texte"/>
        <w:ind w:left="-426" w:right="-238" w:hanging="0"/>
        <w:rPr/>
      </w:pPr>
      <w:r>
        <w:rPr>
          <w:rFonts w:eastAsia="Times New Roman" w:cs="Calibri" w:ascii="Calibri" w:hAnsi="Calibri"/>
          <w:sz w:val="20"/>
        </w:rPr>
        <w:t>Représentées par XXX, agissant en qualité de Directrice des Ressources Humaines, dûment mandatée et habilitée,</w:t>
      </w:r>
    </w:p>
    <w:p>
      <w:pPr>
        <w:pStyle w:val="Texte"/>
        <w:ind w:left="-426" w:right="-238" w:hanging="0"/>
        <w:rPr>
          <w:rFonts w:ascii="Calibri" w:hAnsi="Calibri" w:eastAsia="Times New Roman" w:cs="Calibri"/>
          <w:sz w:val="20"/>
        </w:rPr>
      </w:pPr>
      <w:r>
        <w:rPr>
          <w:rFonts w:eastAsia="Times New Roman" w:cs="Calibri" w:ascii="Calibri" w:hAnsi="Calibri"/>
          <w:sz w:val="20"/>
        </w:rPr>
      </w:r>
    </w:p>
    <w:p>
      <w:pPr>
        <w:pStyle w:val="Texte"/>
        <w:ind w:left="-426" w:right="-238" w:hanging="0"/>
        <w:rPr>
          <w:rFonts w:ascii="Calibri" w:hAnsi="Calibri" w:eastAsia="Times New Roman" w:cs="Calibri"/>
          <w:sz w:val="20"/>
        </w:rPr>
      </w:pPr>
      <w:r>
        <w:rPr>
          <w:rFonts w:eastAsia="Times New Roman" w:cs="Calibri" w:ascii="Calibri" w:hAnsi="Calibri"/>
          <w:sz w:val="20"/>
        </w:rPr>
        <w:t>ci-après désignées « les Sociétés »</w:t>
      </w:r>
    </w:p>
    <w:p>
      <w:pPr>
        <w:pStyle w:val="NormalWeb"/>
        <w:ind w:left="-426" w:right="-238" w:hanging="0"/>
        <w:jc w:val="both"/>
        <w:rPr/>
      </w:pPr>
      <w:r>
        <w:rPr>
          <w:rFonts w:cs="Calibri" w:ascii="Calibri" w:hAnsi="Calibri"/>
          <w:b/>
          <w:sz w:val="20"/>
          <w:szCs w:val="20"/>
        </w:rPr>
        <w:tab/>
        <w:tab/>
        <w:tab/>
        <w:tab/>
        <w:tab/>
        <w:tab/>
        <w:tab/>
        <w:tab/>
        <w:tab/>
        <w:tab/>
        <w:t xml:space="preserve">            D’UNE PART</w:t>
      </w:r>
    </w:p>
    <w:p>
      <w:pPr>
        <w:pStyle w:val="NormalWeb"/>
        <w:ind w:left="-426" w:right="-238" w:hanging="0"/>
        <w:jc w:val="both"/>
        <w:rPr>
          <w:rFonts w:ascii="Calibri" w:hAnsi="Calibri" w:cs="Calibri"/>
          <w:b/>
          <w:b/>
          <w:sz w:val="20"/>
          <w:szCs w:val="20"/>
        </w:rPr>
      </w:pPr>
      <w:r>
        <w:rPr>
          <w:rFonts w:cs="Calibri" w:ascii="Calibri" w:hAnsi="Calibri"/>
          <w:b/>
          <w:sz w:val="20"/>
          <w:szCs w:val="20"/>
          <w:u w:val="single"/>
        </w:rPr>
        <w:t>ET</w:t>
      </w:r>
      <w:r>
        <w:rPr>
          <w:rFonts w:cs="Calibri" w:ascii="Calibri" w:hAnsi="Calibri"/>
          <w:b/>
          <w:sz w:val="20"/>
          <w:szCs w:val="20"/>
        </w:rPr>
        <w:t> :</w:t>
      </w:r>
    </w:p>
    <w:p>
      <w:pPr>
        <w:pStyle w:val="Texte"/>
        <w:ind w:left="-426" w:right="-238" w:hanging="0"/>
        <w:rPr>
          <w:rFonts w:ascii="Calibri" w:hAnsi="Calibri" w:cs="Calibri"/>
          <w:b/>
          <w:b/>
          <w:sz w:val="20"/>
          <w:szCs w:val="20"/>
        </w:rPr>
      </w:pPr>
      <w:r>
        <w:rPr>
          <w:rFonts w:cs="Calibri" w:ascii="Calibri" w:hAnsi="Calibri"/>
          <w:b/>
          <w:sz w:val="20"/>
          <w:szCs w:val="20"/>
        </w:rPr>
      </w:r>
    </w:p>
    <w:p>
      <w:pPr>
        <w:pStyle w:val="Texte"/>
        <w:ind w:left="-426" w:right="-477" w:hanging="0"/>
        <w:rPr>
          <w:rFonts w:ascii="Calibri" w:hAnsi="Calibri" w:cs="Calibri"/>
          <w:b/>
          <w:b/>
          <w:sz w:val="20"/>
        </w:rPr>
      </w:pPr>
      <w:r>
        <w:rPr>
          <w:rFonts w:cs="Calibri" w:ascii="Calibri" w:hAnsi="Calibri"/>
          <w:b/>
          <w:sz w:val="20"/>
        </w:rPr>
        <w:t>Les organisations syndicales représentatives suivantes :</w:t>
      </w:r>
    </w:p>
    <w:p>
      <w:pPr>
        <w:pStyle w:val="Texte"/>
        <w:ind w:left="-426" w:right="-477" w:hanging="0"/>
        <w:rPr/>
      </w:pPr>
      <w:r>
        <w:rPr>
          <w:rFonts w:eastAsia="Times New Roman" w:cs="Calibri" w:ascii="Calibri" w:hAnsi="Calibri"/>
          <w:sz w:val="20"/>
        </w:rPr>
        <w:t>L'organisation Syndicale CFE-CGC, représentée par XXX, Délégué Syndical</w:t>
      </w:r>
    </w:p>
    <w:p>
      <w:pPr>
        <w:pStyle w:val="Texte"/>
        <w:ind w:left="-426" w:right="-477" w:hanging="0"/>
        <w:rPr/>
      </w:pPr>
      <w:r>
        <w:rPr>
          <w:rFonts w:eastAsia="Times New Roman" w:cs="Calibri" w:ascii="Calibri" w:hAnsi="Calibri"/>
          <w:sz w:val="20"/>
        </w:rPr>
        <w:t>L'organisation Syndicale CFTC, représentée par XXX, Délégué Syndical</w:t>
      </w:r>
    </w:p>
    <w:p>
      <w:pPr>
        <w:pStyle w:val="Paragraphedeliste"/>
        <w:spacing w:before="0" w:after="0"/>
        <w:ind w:left="-426" w:right="-477" w:hanging="0"/>
        <w:contextualSpacing/>
        <w:jc w:val="both"/>
        <w:rPr>
          <w:rFonts w:cs="Calibri"/>
          <w:sz w:val="20"/>
          <w:szCs w:val="20"/>
        </w:rPr>
      </w:pPr>
      <w:r>
        <w:rPr>
          <w:rFonts w:cs="Calibri"/>
          <w:sz w:val="20"/>
          <w:szCs w:val="20"/>
        </w:rPr>
        <w:t>L'organisation Syndicale FO, représentée par XXX, Délégué Syndical</w:t>
      </w:r>
    </w:p>
    <w:p>
      <w:pPr>
        <w:pStyle w:val="Texte"/>
        <w:ind w:left="-426" w:right="-238" w:hanging="0"/>
        <w:jc w:val="right"/>
        <w:rPr>
          <w:rFonts w:ascii="Calibri" w:hAnsi="Calibri" w:cs="Calibri"/>
          <w:bCs/>
          <w:sz w:val="20"/>
          <w:szCs w:val="20"/>
        </w:rPr>
      </w:pPr>
      <w:r>
        <w:rPr>
          <w:rFonts w:cs="Calibri" w:ascii="Calibri" w:hAnsi="Calibri"/>
          <w:bCs/>
          <w:sz w:val="20"/>
          <w:szCs w:val="20"/>
        </w:rPr>
      </w:r>
    </w:p>
    <w:p>
      <w:pPr>
        <w:pStyle w:val="Normal"/>
        <w:suppressAutoHyphens w:val="true"/>
        <w:ind w:left="-426" w:right="-238" w:hanging="0"/>
        <w:jc w:val="both"/>
        <w:rPr>
          <w:rFonts w:ascii="Calibri" w:hAnsi="Calibri" w:cs="Calibri"/>
          <w:sz w:val="20"/>
          <w:szCs w:val="20"/>
        </w:rPr>
      </w:pPr>
      <w:r>
        <w:rPr>
          <w:rFonts w:cs="Calibri" w:ascii="Calibri" w:hAnsi="Calibri"/>
          <w:sz w:val="20"/>
          <w:szCs w:val="20"/>
        </w:rPr>
        <w:tab/>
        <w:tab/>
        <w:tab/>
        <w:tab/>
        <w:tab/>
        <w:tab/>
        <w:tab/>
        <w:tab/>
        <w:tab/>
        <w:tab/>
        <w:t xml:space="preserve">       </w:t>
      </w:r>
      <w:r>
        <w:rPr>
          <w:rFonts w:cs="Calibri" w:ascii="Calibri" w:hAnsi="Calibri"/>
          <w:b/>
          <w:bCs/>
          <w:sz w:val="20"/>
          <w:szCs w:val="20"/>
        </w:rPr>
        <w:t>D’AUTRE PART</w:t>
      </w:r>
    </w:p>
    <w:p>
      <w:pPr>
        <w:pStyle w:val="Normal"/>
        <w:ind w:left="-426" w:right="-238" w:hanging="0"/>
        <w:jc w:val="right"/>
        <w:rPr>
          <w:rFonts w:ascii="Calibri" w:hAnsi="Calibri" w:cs="Calibri"/>
          <w:sz w:val="20"/>
          <w:szCs w:val="20"/>
        </w:rPr>
      </w:pPr>
      <w:r>
        <w:rPr>
          <w:rFonts w:cs="Calibri" w:ascii="Calibri" w:hAnsi="Calibri"/>
          <w:sz w:val="20"/>
          <w:szCs w:val="20"/>
        </w:rPr>
      </w:r>
    </w:p>
    <w:p>
      <w:pPr>
        <w:pStyle w:val="Normal"/>
        <w:ind w:left="-426" w:right="-238" w:hanging="0"/>
        <w:rPr>
          <w:rFonts w:ascii="Calibri" w:hAnsi="Calibri" w:cs="Calibri"/>
          <w:sz w:val="20"/>
          <w:szCs w:val="20"/>
        </w:rPr>
      </w:pPr>
      <w:r>
        <w:rPr>
          <w:rFonts w:cs="Calibri" w:ascii="Calibri" w:hAnsi="Calibri"/>
          <w:sz w:val="20"/>
          <w:szCs w:val="20"/>
        </w:rPr>
        <w:t>Ensemble, ci-après dénommées « Les Parties »</w:t>
      </w:r>
    </w:p>
    <w:p>
      <w:pPr>
        <w:pStyle w:val="Normal"/>
        <w:ind w:left="-426" w:right="-238" w:hanging="0"/>
        <w:rPr>
          <w:rFonts w:ascii="Calibri" w:hAnsi="Calibri" w:cs="Calibri"/>
          <w:sz w:val="20"/>
          <w:szCs w:val="20"/>
        </w:rPr>
      </w:pPr>
      <w:r>
        <w:rPr>
          <w:rFonts w:cs="Calibri" w:ascii="Calibri" w:hAnsi="Calibri"/>
          <w:sz w:val="20"/>
          <w:szCs w:val="20"/>
        </w:rPr>
      </w:r>
    </w:p>
    <w:p>
      <w:pPr>
        <w:pStyle w:val="Normal"/>
        <w:ind w:left="-426" w:right="-238" w:hanging="0"/>
        <w:rPr>
          <w:rFonts w:ascii="Calibri" w:hAnsi="Calibri" w:cs="Calibri"/>
          <w:sz w:val="20"/>
          <w:szCs w:val="20"/>
        </w:rPr>
      </w:pPr>
      <w:r>
        <w:rPr>
          <w:rFonts w:cs="Calibri" w:ascii="Calibri" w:hAnsi="Calibri"/>
          <w:sz w:val="20"/>
          <w:szCs w:val="20"/>
        </w:rPr>
      </w:r>
    </w:p>
    <w:p>
      <w:pPr>
        <w:pStyle w:val="Heading1"/>
        <w:numPr>
          <w:ilvl w:val="0"/>
          <w:numId w:val="1"/>
        </w:numPr>
        <w:shd w:fill="7030A0" w:val="clear"/>
        <w:ind w:left="-426" w:right="-483" w:hanging="0"/>
        <w:rPr>
          <w:rFonts w:ascii="Calibri" w:hAnsi="Calibri" w:cs="Calibri"/>
          <w:color w:val="FFFFFF"/>
          <w:sz w:val="20"/>
          <w:szCs w:val="20"/>
        </w:rPr>
      </w:pPr>
      <w:r>
        <w:rPr>
          <w:rFonts w:cs="Calibri" w:ascii="Calibri" w:hAnsi="Calibri"/>
          <w:color w:val="FFFFFF"/>
          <w:sz w:val="20"/>
          <w:szCs w:val="20"/>
        </w:rPr>
        <w:t>Préambule</w:t>
        <w:tab/>
        <w:tab/>
        <w:tab/>
        <w:tab/>
        <w:tab/>
        <w:tab/>
        <w:tab/>
        <w:tab/>
        <w:tab/>
        <w:tab/>
        <w:tab/>
      </w:r>
    </w:p>
    <w:p>
      <w:pPr>
        <w:pStyle w:val="Texte"/>
        <w:ind w:left="-426" w:right="-477" w:hanging="0"/>
        <w:rPr>
          <w:rFonts w:ascii="Calibri" w:hAnsi="Calibri" w:eastAsia="Times New Roman" w:cs="Calibri"/>
          <w:color w:val="FFFFFF"/>
          <w:sz w:val="20"/>
          <w:szCs w:val="20"/>
        </w:rPr>
      </w:pPr>
      <w:r>
        <w:rPr>
          <w:rFonts w:eastAsia="Times New Roman" w:cs="Calibri" w:ascii="Calibri" w:hAnsi="Calibri"/>
          <w:color w:val="FFFFFF"/>
          <w:sz w:val="20"/>
          <w:szCs w:val="20"/>
        </w:rPr>
      </w:r>
    </w:p>
    <w:p>
      <w:pPr>
        <w:pStyle w:val="Texte"/>
        <w:ind w:left="-426" w:right="-477" w:hanging="0"/>
        <w:rPr>
          <w:rFonts w:ascii="Calibri" w:hAnsi="Calibri" w:eastAsia="Times New Roman" w:cs="Calibri"/>
          <w:sz w:val="20"/>
        </w:rPr>
      </w:pPr>
      <w:r>
        <w:rPr>
          <w:rFonts w:eastAsia="Times New Roman" w:cs="Calibri" w:ascii="Calibri" w:hAnsi="Calibri"/>
          <w:sz w:val="20"/>
        </w:rPr>
        <w:t>La Direction et les Organisations Syndicales présentes dans l’entreprise ont mené 6 séances de négociation dans le cadre de la négociation annuelle obligatoire en dates des 7 décembre 2021, 17 janvier 2022, 1</w:t>
      </w:r>
      <w:r>
        <w:rPr>
          <w:rFonts w:eastAsia="Times New Roman" w:cs="Calibri" w:ascii="Calibri" w:hAnsi="Calibri"/>
          <w:sz w:val="20"/>
          <w:vertAlign w:val="superscript"/>
        </w:rPr>
        <w:t>er</w:t>
      </w:r>
      <w:r>
        <w:rPr>
          <w:rFonts w:eastAsia="Times New Roman" w:cs="Calibri" w:ascii="Calibri" w:hAnsi="Calibri"/>
          <w:sz w:val="20"/>
        </w:rPr>
        <w:t xml:space="preserve"> février 2022, 16 février 2022, 23 février 2022 et 16 mars 2022.</w:t>
      </w:r>
    </w:p>
    <w:p>
      <w:pPr>
        <w:pStyle w:val="Normal"/>
        <w:ind w:left="-426" w:right="-238" w:hanging="0"/>
        <w:jc w:val="both"/>
        <w:rPr>
          <w:rFonts w:ascii="Calibri" w:hAnsi="Calibri" w:eastAsia="Times New Roman" w:cs="Calibri"/>
          <w:sz w:val="20"/>
          <w:szCs w:val="20"/>
        </w:rPr>
      </w:pPr>
      <w:r>
        <w:rPr>
          <w:rFonts w:eastAsia="Times New Roman" w:cs="Calibri" w:ascii="Calibri" w:hAnsi="Calibri"/>
          <w:sz w:val="20"/>
          <w:szCs w:val="20"/>
        </w:rPr>
      </w:r>
    </w:p>
    <w:p>
      <w:pPr>
        <w:pStyle w:val="Normal"/>
        <w:ind w:left="-426" w:right="-238" w:hanging="0"/>
        <w:rPr>
          <w:rFonts w:ascii="Calibri" w:hAnsi="Calibri" w:cs="Calibri"/>
          <w:sz w:val="20"/>
          <w:szCs w:val="20"/>
        </w:rPr>
      </w:pPr>
      <w:r>
        <w:rPr>
          <w:rFonts w:cs="Calibri" w:ascii="Calibri" w:hAnsi="Calibri"/>
          <w:sz w:val="20"/>
          <w:szCs w:val="20"/>
        </w:rPr>
        <w:t>Dans le cadre de cette négociation, les organisations syndicales et la direction ont fait des propositions suivantes :</w:t>
      </w:r>
    </w:p>
    <w:p>
      <w:pPr>
        <w:pStyle w:val="Normal"/>
        <w:ind w:left="-426" w:right="-238" w:hanging="0"/>
        <w:jc w:val="both"/>
        <w:rPr>
          <w:rFonts w:ascii="Calibri" w:hAnsi="Calibri" w:cs="Calibri"/>
          <w:sz w:val="20"/>
          <w:szCs w:val="20"/>
        </w:rPr>
      </w:pPr>
      <w:bookmarkStart w:id="0" w:name="_Hlk98175350"/>
      <w:bookmarkStart w:id="1" w:name="_Hlk98175350"/>
      <w:r>
        <w:rPr>
          <w:rFonts w:cs="Calibri" w:ascii="Calibri" w:hAnsi="Calibri"/>
          <w:sz w:val="20"/>
          <w:szCs w:val="20"/>
        </w:rPr>
      </w:r>
      <w:r>
        <w:br w:type="page"/>
      </w:r>
    </w:p>
    <w:p>
      <w:pPr>
        <w:pStyle w:val="Normal"/>
        <w:ind w:left="-426" w:right="-238" w:hanging="0"/>
        <w:jc w:val="both"/>
        <w:rPr>
          <w:rFonts w:ascii="Calibri" w:hAnsi="Calibri" w:eastAsia="Calibri" w:cs="Calibri"/>
          <w:b/>
          <w:b/>
          <w:smallCaps/>
          <w:color w:val="7030A0"/>
          <w:sz w:val="28"/>
          <w:szCs w:val="28"/>
          <w:u w:val="single"/>
        </w:rPr>
      </w:pPr>
      <w:r>
        <w:rPr>
          <w:rFonts w:eastAsia="Calibri" w:cs="Calibri" w:ascii="Calibri" w:hAnsi="Calibri"/>
          <w:b/>
          <w:smallCaps/>
          <w:color w:val="7030A0"/>
          <w:sz w:val="28"/>
          <w:szCs w:val="28"/>
          <w:u w:val="single"/>
        </w:rPr>
        <w:t>Propositions de la liste commune CFE-CGC et CFTC</w:t>
      </w:r>
    </w:p>
    <w:p>
      <w:pPr>
        <w:pStyle w:val="Normal"/>
        <w:ind w:left="-426" w:right="-238" w:hanging="0"/>
        <w:jc w:val="both"/>
        <w:rPr>
          <w:lang w:val="en-GB" w:eastAsia="en-GB"/>
        </w:rPr>
      </w:pPr>
      <w:r>
        <w:rPr>
          <w:lang w:val="en-GB" w:eastAsia="en-GB"/>
        </w:rPr>
        <w:drawing>
          <wp:inline distT="0" distB="0" distL="0" distR="0">
            <wp:extent cx="5793105" cy="8434070"/>
            <wp:effectExtent l="0" t="0" r="0" b="0"/>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
                    <pic:cNvPicPr>
                      <a:picLocks noChangeAspect="1" noChangeArrowheads="1"/>
                    </pic:cNvPicPr>
                  </pic:nvPicPr>
                  <pic:blipFill>
                    <a:blip r:embed="rId2"/>
                    <a:srcRect l="-6" t="-4" r="-6" b="-4"/>
                    <a:stretch>
                      <a:fillRect/>
                    </a:stretch>
                  </pic:blipFill>
                  <pic:spPr bwMode="auto">
                    <a:xfrm>
                      <a:off x="0" y="0"/>
                      <a:ext cx="5793105" cy="8434070"/>
                    </a:xfrm>
                    <a:prstGeom prst="rect">
                      <a:avLst/>
                    </a:prstGeom>
                  </pic:spPr>
                </pic:pic>
              </a:graphicData>
            </a:graphic>
          </wp:inline>
        </w:drawing>
      </w:r>
    </w:p>
    <w:p>
      <w:pPr>
        <w:pStyle w:val="Normal"/>
        <w:ind w:left="-426" w:right="-238" w:hanging="0"/>
        <w:jc w:val="both"/>
        <w:rPr>
          <w:lang w:val="en-GB" w:eastAsia="en-GB"/>
        </w:rPr>
      </w:pPr>
      <w:r>
        <w:rPr>
          <w:lang w:val="en-GB" w:eastAsia="en-GB"/>
        </w:rPr>
        <w:drawing>
          <wp:inline distT="0" distB="0" distL="0" distR="0">
            <wp:extent cx="5592445" cy="8792845"/>
            <wp:effectExtent l="0" t="0" r="0" b="0"/>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3"/>
                    <a:srcRect l="-7" t="-4" r="-7" b="-4"/>
                    <a:stretch>
                      <a:fillRect/>
                    </a:stretch>
                  </pic:blipFill>
                  <pic:spPr bwMode="auto">
                    <a:xfrm>
                      <a:off x="0" y="0"/>
                      <a:ext cx="5592445" cy="8792845"/>
                    </a:xfrm>
                    <a:prstGeom prst="rect">
                      <a:avLst/>
                    </a:prstGeom>
                  </pic:spPr>
                </pic:pic>
              </a:graphicData>
            </a:graphic>
          </wp:inline>
        </w:drawing>
      </w:r>
    </w:p>
    <w:p>
      <w:pPr>
        <w:pStyle w:val="Normal"/>
        <w:ind w:left="-426" w:right="-238" w:hanging="0"/>
        <w:jc w:val="both"/>
        <w:rPr>
          <w:lang w:val="en-GB" w:eastAsia="en-GB"/>
        </w:rPr>
      </w:pPr>
      <w:r>
        <w:rPr>
          <w:lang w:val="en-GB" w:eastAsia="en-GB"/>
        </w:rPr>
        <w:drawing>
          <wp:inline distT="0" distB="0" distL="0" distR="0">
            <wp:extent cx="5584190" cy="8688070"/>
            <wp:effectExtent l="0" t="0" r="0" b="0"/>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4"/>
                    <a:srcRect l="-7" t="-4" r="-7" b="-4"/>
                    <a:stretch>
                      <a:fillRect/>
                    </a:stretch>
                  </pic:blipFill>
                  <pic:spPr bwMode="auto">
                    <a:xfrm>
                      <a:off x="0" y="0"/>
                      <a:ext cx="5584190" cy="8688070"/>
                    </a:xfrm>
                    <a:prstGeom prst="rect">
                      <a:avLst/>
                    </a:prstGeom>
                  </pic:spPr>
                </pic:pic>
              </a:graphicData>
            </a:graphic>
          </wp:inline>
        </w:drawing>
      </w:r>
    </w:p>
    <w:p>
      <w:pPr>
        <w:pStyle w:val="Normal"/>
        <w:ind w:left="-426" w:right="-238" w:hanging="0"/>
        <w:jc w:val="both"/>
        <w:rPr>
          <w:lang w:val="en-GB" w:eastAsia="en-GB"/>
        </w:rPr>
      </w:pPr>
      <w:r>
        <w:rPr>
          <w:lang w:val="en-GB" w:eastAsia="en-GB"/>
        </w:rPr>
        <w:drawing>
          <wp:inline distT="0" distB="0" distL="0" distR="0">
            <wp:extent cx="5686425" cy="9022080"/>
            <wp:effectExtent l="0" t="0" r="0" b="0"/>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5"/>
                    <a:srcRect l="-7" t="-4" r="-7" b="-4"/>
                    <a:stretch>
                      <a:fillRect/>
                    </a:stretch>
                  </pic:blipFill>
                  <pic:spPr bwMode="auto">
                    <a:xfrm>
                      <a:off x="0" y="0"/>
                      <a:ext cx="5686425" cy="9022080"/>
                    </a:xfrm>
                    <a:prstGeom prst="rect">
                      <a:avLst/>
                    </a:prstGeom>
                  </pic:spPr>
                </pic:pic>
              </a:graphicData>
            </a:graphic>
          </wp:inline>
        </w:drawing>
      </w:r>
    </w:p>
    <w:p>
      <w:pPr>
        <w:pStyle w:val="Normal"/>
        <w:ind w:left="-426" w:right="-238" w:hanging="0"/>
        <w:jc w:val="both"/>
        <w:rPr>
          <w:rFonts w:ascii="Calibri" w:hAnsi="Calibri" w:eastAsia="Calibri" w:cs="Calibri"/>
          <w:b/>
          <w:b/>
          <w:smallCaps/>
          <w:color w:val="7030A0"/>
          <w:sz w:val="20"/>
          <w:szCs w:val="20"/>
          <w:u w:val="single"/>
        </w:rPr>
      </w:pPr>
      <w:bookmarkStart w:id="2" w:name="_Hlk98175350"/>
      <w:bookmarkEnd w:id="2"/>
      <w:r>
        <w:rPr>
          <w:lang w:val="en-GB" w:eastAsia="en-GB"/>
        </w:rPr>
        <w:drawing>
          <wp:inline distT="0" distB="0" distL="0" distR="0">
            <wp:extent cx="5615940" cy="8326120"/>
            <wp:effectExtent l="0" t="0" r="0" b="0"/>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6"/>
                    <a:srcRect l="-7" t="-5" r="-7" b="-5"/>
                    <a:stretch>
                      <a:fillRect/>
                    </a:stretch>
                  </pic:blipFill>
                  <pic:spPr bwMode="auto">
                    <a:xfrm>
                      <a:off x="0" y="0"/>
                      <a:ext cx="5615940" cy="8326120"/>
                    </a:xfrm>
                    <a:prstGeom prst="rect">
                      <a:avLst/>
                    </a:prstGeom>
                  </pic:spPr>
                </pic:pic>
              </a:graphicData>
            </a:graphic>
          </wp:inline>
        </w:drawing>
      </w:r>
    </w:p>
    <w:p>
      <w:pPr>
        <w:pStyle w:val="Normal"/>
        <w:ind w:left="-426" w:right="-238" w:hanging="0"/>
        <w:rPr>
          <w:rFonts w:ascii="Calibri" w:hAnsi="Calibri" w:eastAsia="Calibri" w:cs="Calibri"/>
          <w:b/>
          <w:b/>
          <w:smallCaps/>
          <w:color w:val="7030A0"/>
          <w:sz w:val="28"/>
          <w:szCs w:val="28"/>
          <w:u w:val="single"/>
        </w:rPr>
      </w:pPr>
      <w:r>
        <w:rPr>
          <w:rFonts w:eastAsia="Calibri" w:cs="Calibri" w:ascii="Calibri" w:hAnsi="Calibri"/>
          <w:b/>
          <w:smallCaps/>
          <w:color w:val="7030A0"/>
          <w:sz w:val="28"/>
          <w:szCs w:val="28"/>
          <w:u w:val="single"/>
        </w:rPr>
      </w:r>
    </w:p>
    <w:p>
      <w:pPr>
        <w:pStyle w:val="Normal"/>
        <w:ind w:left="-426" w:right="-238" w:hanging="0"/>
        <w:rPr>
          <w:rFonts w:ascii="Calibri" w:hAnsi="Calibri" w:eastAsia="Calibri" w:cs="Calibri"/>
          <w:b/>
          <w:b/>
          <w:smallCaps/>
          <w:color w:val="7030A0"/>
          <w:sz w:val="28"/>
          <w:szCs w:val="28"/>
          <w:u w:val="single"/>
        </w:rPr>
      </w:pPr>
      <w:r>
        <w:rPr>
          <w:rFonts w:eastAsia="Calibri" w:cs="Calibri" w:ascii="Calibri" w:hAnsi="Calibri"/>
          <w:b/>
          <w:smallCaps/>
          <w:color w:val="7030A0"/>
          <w:sz w:val="28"/>
          <w:szCs w:val="28"/>
          <w:u w:val="single"/>
        </w:rPr>
      </w:r>
    </w:p>
    <w:p>
      <w:pPr>
        <w:pStyle w:val="Normal"/>
        <w:ind w:left="-426" w:right="-238" w:hanging="0"/>
        <w:rPr>
          <w:rFonts w:ascii="Calibri" w:hAnsi="Calibri" w:eastAsia="Calibri" w:cs="Calibri"/>
          <w:b/>
          <w:b/>
          <w:smallCaps/>
          <w:color w:val="7030A0"/>
          <w:sz w:val="28"/>
          <w:szCs w:val="28"/>
          <w:u w:val="single"/>
        </w:rPr>
      </w:pPr>
      <w:r>
        <w:rPr>
          <w:rFonts w:eastAsia="Calibri" w:cs="Calibri" w:ascii="Calibri" w:hAnsi="Calibri"/>
          <w:b/>
          <w:smallCaps/>
          <w:color w:val="7030A0"/>
          <w:sz w:val="28"/>
          <w:szCs w:val="28"/>
          <w:u w:val="single"/>
        </w:rPr>
      </w:r>
    </w:p>
    <w:p>
      <w:pPr>
        <w:pStyle w:val="Normal"/>
        <w:ind w:left="-426" w:right="-238" w:hanging="0"/>
        <w:rPr>
          <w:rFonts w:ascii="Calibri" w:hAnsi="Calibri" w:eastAsia="Calibri" w:cs="Calibri"/>
          <w:b/>
          <w:b/>
          <w:smallCaps/>
          <w:color w:val="7030A0"/>
          <w:sz w:val="28"/>
          <w:szCs w:val="28"/>
          <w:u w:val="single"/>
        </w:rPr>
      </w:pPr>
      <w:r>
        <w:rPr>
          <w:rFonts w:eastAsia="Calibri" w:cs="Calibri" w:ascii="Calibri" w:hAnsi="Calibri"/>
          <w:b/>
          <w:smallCaps/>
          <w:color w:val="7030A0"/>
          <w:sz w:val="28"/>
          <w:szCs w:val="28"/>
          <w:u w:val="single"/>
        </w:rPr>
      </w:r>
    </w:p>
    <w:p>
      <w:pPr>
        <w:pStyle w:val="Normal"/>
        <w:ind w:left="-426" w:right="-238" w:hanging="0"/>
        <w:rPr>
          <w:rFonts w:ascii="Calibri" w:hAnsi="Calibri" w:eastAsia="Calibri" w:cs="Calibri"/>
          <w:b/>
          <w:b/>
          <w:smallCaps/>
          <w:color w:val="7030A0"/>
          <w:sz w:val="28"/>
          <w:szCs w:val="28"/>
          <w:u w:val="single"/>
        </w:rPr>
      </w:pPr>
      <w:bookmarkStart w:id="3" w:name="_Hlk98176257"/>
      <w:bookmarkEnd w:id="3"/>
      <w:r>
        <w:rPr>
          <w:rFonts w:eastAsia="Calibri" w:cs="Calibri" w:ascii="Calibri" w:hAnsi="Calibri"/>
          <w:b/>
          <w:smallCaps/>
          <w:color w:val="7030A0"/>
          <w:sz w:val="28"/>
          <w:szCs w:val="28"/>
          <w:u w:val="single"/>
        </w:rPr>
        <w:t>Propositions FO</w:t>
      </w:r>
    </w:p>
    <w:p>
      <w:pPr>
        <w:pStyle w:val="Normal"/>
        <w:ind w:left="-426" w:right="-238" w:hanging="0"/>
        <w:rPr>
          <w:rFonts w:ascii="Calibri" w:hAnsi="Calibri" w:eastAsia="Calibri" w:cs="Calibri"/>
          <w:b/>
          <w:b/>
          <w:smallCaps/>
          <w:color w:val="7030A0"/>
          <w:sz w:val="20"/>
          <w:szCs w:val="20"/>
          <w:u w:val="single"/>
        </w:rPr>
      </w:pPr>
      <w:r>
        <w:rPr>
          <w:rFonts w:eastAsia="Calibri" w:cs="Calibri" w:ascii="Calibri" w:hAnsi="Calibri"/>
          <w:b/>
          <w:smallCaps/>
          <w:color w:val="7030A0"/>
          <w:sz w:val="20"/>
          <w:szCs w:val="20"/>
          <w:u w:val="single"/>
        </w:rPr>
      </w:r>
    </w:p>
    <w:p>
      <w:pPr>
        <w:pStyle w:val="Normal"/>
        <w:ind w:left="-426" w:right="-238" w:hanging="0"/>
        <w:rPr>
          <w:lang w:val="en-GB" w:eastAsia="en-GB"/>
        </w:rPr>
      </w:pPr>
      <w:r>
        <w:rPr>
          <w:lang w:val="en-GB" w:eastAsia="en-GB"/>
        </w:rPr>
        <w:drawing>
          <wp:inline distT="0" distB="0" distL="0" distR="0">
            <wp:extent cx="5372100" cy="6743700"/>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rcRect l="-6" t="-5" r="-6" b="-5"/>
                    <a:stretch>
                      <a:fillRect/>
                    </a:stretch>
                  </pic:blipFill>
                  <pic:spPr bwMode="auto">
                    <a:xfrm>
                      <a:off x="0" y="0"/>
                      <a:ext cx="5372100" cy="6743700"/>
                    </a:xfrm>
                    <a:prstGeom prst="rect">
                      <a:avLst/>
                    </a:prstGeom>
                  </pic:spPr>
                </pic:pic>
              </a:graphicData>
            </a:graphic>
          </wp:inline>
        </w:drawing>
      </w:r>
    </w:p>
    <w:p>
      <w:pPr>
        <w:pStyle w:val="Normal"/>
        <w:ind w:left="-426" w:right="-238" w:hanging="0"/>
        <w:rPr>
          <w:rFonts w:ascii="Calibri" w:hAnsi="Calibri" w:eastAsia="Calibri" w:cs="Calibri"/>
          <w:b/>
          <w:b/>
          <w:smallCaps/>
          <w:color w:val="7030A0"/>
          <w:sz w:val="20"/>
          <w:szCs w:val="20"/>
          <w:u w:val="single"/>
        </w:rPr>
      </w:pPr>
      <w:r>
        <w:rPr>
          <w:lang w:val="en-GB" w:eastAsia="en-GB"/>
        </w:rPr>
        <w:drawing>
          <wp:inline distT="0" distB="0" distL="0" distR="0">
            <wp:extent cx="5162550" cy="6581775"/>
            <wp:effectExtent l="0" t="0" r="0" b="0"/>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8"/>
                    <a:srcRect l="-6" t="-5" r="-6" b="-5"/>
                    <a:stretch>
                      <a:fillRect/>
                    </a:stretch>
                  </pic:blipFill>
                  <pic:spPr bwMode="auto">
                    <a:xfrm>
                      <a:off x="0" y="0"/>
                      <a:ext cx="5162550" cy="6581775"/>
                    </a:xfrm>
                    <a:prstGeom prst="rect">
                      <a:avLst/>
                    </a:prstGeom>
                  </pic:spPr>
                </pic:pic>
              </a:graphicData>
            </a:graphic>
          </wp:inline>
        </w:drawing>
      </w:r>
    </w:p>
    <w:p>
      <w:pPr>
        <w:pStyle w:val="Normal"/>
        <w:ind w:left="-426" w:right="-238" w:hanging="0"/>
        <w:rPr>
          <w:lang w:val="en-GB" w:eastAsia="en-GB"/>
        </w:rPr>
      </w:pPr>
      <w:r>
        <w:rPr>
          <w:lang w:val="en-GB" w:eastAsia="en-GB"/>
        </w:rPr>
        <w:drawing>
          <wp:inline distT="0" distB="0" distL="0" distR="0">
            <wp:extent cx="5162550" cy="400050"/>
            <wp:effectExtent l="0" t="0" r="0" b="0"/>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rcRect l="-6" t="-90" r="-6" b="-90"/>
                    <a:stretch>
                      <a:fillRect/>
                    </a:stretch>
                  </pic:blipFill>
                  <pic:spPr bwMode="auto">
                    <a:xfrm>
                      <a:off x="0" y="0"/>
                      <a:ext cx="5162550" cy="400050"/>
                    </a:xfrm>
                    <a:prstGeom prst="rect">
                      <a:avLst/>
                    </a:prstGeom>
                  </pic:spPr>
                </pic:pic>
              </a:graphicData>
            </a:graphic>
          </wp:inline>
        </w:drawing>
      </w:r>
    </w:p>
    <w:p>
      <w:pPr>
        <w:pStyle w:val="Normal"/>
        <w:ind w:left="-426" w:right="-238" w:hanging="0"/>
        <w:rPr>
          <w:lang w:val="en-GB" w:eastAsia="en-GB"/>
        </w:rPr>
      </w:pPr>
      <w:r>
        <w:rPr>
          <w:lang w:val="en-GB" w:eastAsia="en-GB"/>
        </w:rPr>
        <w:drawing>
          <wp:inline distT="0" distB="0" distL="0" distR="0">
            <wp:extent cx="5114925" cy="6724650"/>
            <wp:effectExtent l="0" t="0" r="0" b="0"/>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rcRect l="-7" t="-5" r="-7" b="-5"/>
                    <a:stretch>
                      <a:fillRect/>
                    </a:stretch>
                  </pic:blipFill>
                  <pic:spPr bwMode="auto">
                    <a:xfrm>
                      <a:off x="0" y="0"/>
                      <a:ext cx="5114925" cy="6724650"/>
                    </a:xfrm>
                    <a:prstGeom prst="rect">
                      <a:avLst/>
                    </a:prstGeom>
                  </pic:spPr>
                </pic:pic>
              </a:graphicData>
            </a:graphic>
          </wp:inline>
        </w:drawing>
      </w:r>
    </w:p>
    <w:p>
      <w:pPr>
        <w:pStyle w:val="Normal"/>
        <w:ind w:left="-426" w:right="-238" w:hanging="0"/>
        <w:rPr>
          <w:lang w:val="en-GB" w:eastAsia="en-GB"/>
        </w:rPr>
      </w:pPr>
      <w:r>
        <w:rPr>
          <w:lang w:val="en-GB" w:eastAsia="en-GB"/>
        </w:rPr>
        <w:drawing>
          <wp:inline distT="0" distB="0" distL="0" distR="0">
            <wp:extent cx="4962525" cy="6715125"/>
            <wp:effectExtent l="0" t="0" r="0" b="0"/>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rcRect l="-7" t="-5" r="-7" b="-5"/>
                    <a:stretch>
                      <a:fillRect/>
                    </a:stretch>
                  </pic:blipFill>
                  <pic:spPr bwMode="auto">
                    <a:xfrm>
                      <a:off x="0" y="0"/>
                      <a:ext cx="4962525" cy="6715125"/>
                    </a:xfrm>
                    <a:prstGeom prst="rect">
                      <a:avLst/>
                    </a:prstGeom>
                  </pic:spPr>
                </pic:pic>
              </a:graphicData>
            </a:graphic>
          </wp:inline>
        </w:drawing>
      </w:r>
    </w:p>
    <w:p>
      <w:pPr>
        <w:pStyle w:val="Normal"/>
        <w:ind w:left="-426" w:right="-238" w:hanging="0"/>
        <w:rPr>
          <w:lang w:val="en-GB" w:eastAsia="en-GB"/>
        </w:rPr>
      </w:pPr>
      <w:r>
        <w:rPr>
          <w:lang w:val="en-GB" w:eastAsia="en-GB"/>
        </w:rPr>
        <w:drawing>
          <wp:inline distT="0" distB="0" distL="0" distR="0">
            <wp:extent cx="5305425" cy="6896100"/>
            <wp:effectExtent l="0" t="0" r="0" b="0"/>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2"/>
                    <a:srcRect l="-6" t="-5" r="-6" b="-5"/>
                    <a:stretch>
                      <a:fillRect/>
                    </a:stretch>
                  </pic:blipFill>
                  <pic:spPr bwMode="auto">
                    <a:xfrm>
                      <a:off x="0" y="0"/>
                      <a:ext cx="5305425" cy="6896100"/>
                    </a:xfrm>
                    <a:prstGeom prst="rect">
                      <a:avLst/>
                    </a:prstGeom>
                  </pic:spPr>
                </pic:pic>
              </a:graphicData>
            </a:graphic>
          </wp:inline>
        </w:drawing>
      </w:r>
    </w:p>
    <w:p>
      <w:pPr>
        <w:pStyle w:val="Normal"/>
        <w:ind w:left="-426" w:right="-238" w:hanging="0"/>
        <w:rPr>
          <w:lang w:val="en-GB" w:eastAsia="en-GB"/>
        </w:rPr>
      </w:pPr>
      <w:r>
        <w:rPr>
          <w:lang w:val="en-GB" w:eastAsia="en-GB"/>
        </w:rPr>
      </w:r>
    </w:p>
    <w:p>
      <w:pPr>
        <w:pStyle w:val="Normal"/>
        <w:ind w:left="-426" w:right="-238" w:hanging="0"/>
        <w:rPr>
          <w:lang w:val="en-GB" w:eastAsia="en-GB"/>
        </w:rPr>
      </w:pPr>
      <w:r>
        <w:rPr>
          <w:lang w:val="en-GB" w:eastAsia="en-GB"/>
        </w:rPr>
      </w:r>
    </w:p>
    <w:p>
      <w:pPr>
        <w:pStyle w:val="Normal"/>
        <w:ind w:left="-426" w:right="-238" w:hanging="0"/>
        <w:rPr>
          <w:lang w:val="en-GB" w:eastAsia="en-GB"/>
        </w:rPr>
      </w:pPr>
      <w:r>
        <w:rPr>
          <w:lang w:val="en-GB" w:eastAsia="en-GB"/>
        </w:rPr>
        <w:drawing>
          <wp:inline distT="0" distB="0" distL="0" distR="0">
            <wp:extent cx="5026025" cy="4091305"/>
            <wp:effectExtent l="0" t="0" r="0" b="0"/>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3"/>
                    <a:srcRect l="-6" t="-8" r="-6" b="-8"/>
                    <a:stretch>
                      <a:fillRect/>
                    </a:stretch>
                  </pic:blipFill>
                  <pic:spPr bwMode="auto">
                    <a:xfrm>
                      <a:off x="0" y="0"/>
                      <a:ext cx="5026025" cy="4091305"/>
                    </a:xfrm>
                    <a:prstGeom prst="rect">
                      <a:avLst/>
                    </a:prstGeom>
                  </pic:spPr>
                </pic:pic>
              </a:graphicData>
            </a:graphic>
          </wp:inline>
        </w:drawing>
      </w:r>
    </w:p>
    <w:p>
      <w:pPr>
        <w:pStyle w:val="Normal"/>
        <w:ind w:left="-426" w:right="-238" w:hanging="0"/>
        <w:rPr>
          <w:rFonts w:ascii="Calibri" w:hAnsi="Calibri" w:eastAsia="Calibri" w:cs="Calibri"/>
          <w:b/>
          <w:b/>
          <w:smallCaps/>
          <w:color w:val="7030A0"/>
          <w:sz w:val="20"/>
          <w:szCs w:val="20"/>
          <w:u w:val="single"/>
          <w:lang w:val="en-GB" w:eastAsia="en-GB"/>
        </w:rPr>
      </w:pPr>
      <w:r>
        <w:rPr>
          <w:rFonts w:eastAsia="Calibri" w:cs="Calibri" w:ascii="Calibri" w:hAnsi="Calibri"/>
          <w:b/>
          <w:smallCaps/>
          <w:color w:val="7030A0"/>
          <w:sz w:val="20"/>
          <w:szCs w:val="20"/>
          <w:u w:val="single"/>
          <w:lang w:val="en-GB" w:eastAsia="en-GB"/>
        </w:rPr>
      </w:r>
    </w:p>
    <w:p>
      <w:pPr>
        <w:pStyle w:val="Normal"/>
        <w:ind w:left="-426" w:right="-238" w:hanging="0"/>
        <w:rPr>
          <w:rFonts w:ascii="Calibri" w:hAnsi="Calibri" w:eastAsia="Calibri" w:cs="Calibri"/>
          <w:b/>
          <w:b/>
          <w:smallCaps/>
          <w:color w:val="7030A0"/>
          <w:sz w:val="20"/>
          <w:szCs w:val="20"/>
          <w:u w:val="single"/>
          <w:lang w:val="en-GB" w:eastAsia="en-GB"/>
        </w:rPr>
      </w:pPr>
      <w:r>
        <w:rPr>
          <w:rFonts w:eastAsia="Calibri" w:cs="Calibri" w:ascii="Calibri" w:hAnsi="Calibri"/>
          <w:b/>
          <w:smallCaps/>
          <w:color w:val="7030A0"/>
          <w:sz w:val="20"/>
          <w:szCs w:val="20"/>
          <w:u w:val="single"/>
          <w:lang w:val="en-GB" w:eastAsia="en-GB"/>
        </w:rPr>
      </w:r>
    </w:p>
    <w:p>
      <w:pPr>
        <w:pStyle w:val="Normal"/>
        <w:ind w:left="-426" w:right="-238" w:hanging="0"/>
        <w:rPr>
          <w:rFonts w:ascii="Calibri" w:hAnsi="Calibri" w:eastAsia="Calibri" w:cs="Calibri"/>
          <w:b/>
          <w:b/>
          <w:smallCaps/>
          <w:color w:val="7030A0"/>
          <w:sz w:val="20"/>
          <w:szCs w:val="20"/>
          <w:u w:val="single"/>
        </w:rPr>
      </w:pPr>
      <w:r>
        <w:rPr>
          <w:lang w:val="en-GB" w:eastAsia="en-GB"/>
        </w:rPr>
        <w:drawing>
          <wp:inline distT="0" distB="0" distL="0" distR="0">
            <wp:extent cx="5342890" cy="5555615"/>
            <wp:effectExtent l="0" t="0" r="0" b="0"/>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4"/>
                    <a:srcRect l="-5" t="-5" r="-5" b="-5"/>
                    <a:stretch>
                      <a:fillRect/>
                    </a:stretch>
                  </pic:blipFill>
                  <pic:spPr bwMode="auto">
                    <a:xfrm>
                      <a:off x="0" y="0"/>
                      <a:ext cx="5342890" cy="5555615"/>
                    </a:xfrm>
                    <a:prstGeom prst="rect">
                      <a:avLst/>
                    </a:prstGeom>
                  </pic:spPr>
                </pic:pic>
              </a:graphicData>
            </a:graphic>
          </wp:inline>
        </w:drawing>
      </w:r>
    </w:p>
    <w:p>
      <w:pPr>
        <w:pStyle w:val="Normal"/>
        <w:ind w:left="-426" w:right="-238" w:hanging="0"/>
        <w:rPr>
          <w:rFonts w:ascii="Calibri" w:hAnsi="Calibri" w:eastAsia="Calibri" w:cs="Calibri"/>
          <w:b/>
          <w:b/>
          <w:smallCaps/>
          <w:color w:val="7030A0"/>
          <w:sz w:val="28"/>
          <w:szCs w:val="28"/>
          <w:u w:val="single"/>
        </w:rPr>
      </w:pPr>
      <w:r>
        <w:rPr>
          <w:rFonts w:eastAsia="Calibri" w:cs="Calibri" w:ascii="Calibri" w:hAnsi="Calibri"/>
          <w:b/>
          <w:smallCaps/>
          <w:color w:val="7030A0"/>
          <w:sz w:val="28"/>
          <w:szCs w:val="28"/>
          <w:u w:val="single"/>
        </w:rPr>
      </w:r>
    </w:p>
    <w:p>
      <w:pPr>
        <w:pStyle w:val="Normal"/>
        <w:ind w:left="-426" w:right="-238" w:hanging="0"/>
        <w:rPr>
          <w:rFonts w:ascii="Calibri" w:hAnsi="Calibri" w:eastAsia="Calibri" w:cs="Calibri"/>
          <w:b/>
          <w:b/>
          <w:smallCaps/>
          <w:color w:val="7030A0"/>
          <w:sz w:val="28"/>
          <w:szCs w:val="28"/>
          <w:u w:val="single"/>
        </w:rPr>
      </w:pPr>
      <w:r>
        <w:rPr>
          <w:rFonts w:eastAsia="Calibri" w:cs="Calibri" w:ascii="Calibri" w:hAnsi="Calibri"/>
          <w:b/>
          <w:smallCaps/>
          <w:color w:val="7030A0"/>
          <w:sz w:val="28"/>
          <w:szCs w:val="28"/>
          <w:u w:val="single"/>
        </w:rPr>
        <w:t>Propositions de la Direction</w:t>
      </w:r>
    </w:p>
    <w:p>
      <w:pPr>
        <w:pStyle w:val="NormalWeb"/>
        <w:ind w:left="-284" w:right="-238" w:hanging="0"/>
        <w:jc w:val="both"/>
        <w:rPr>
          <w:rFonts w:ascii="Calibri" w:hAnsi="Calibri" w:eastAsia="Calibri" w:cs="Tahoma"/>
          <w:b/>
          <w:b/>
          <w:smallCaps/>
          <w:color w:val="000000"/>
          <w:sz w:val="20"/>
          <w:szCs w:val="20"/>
          <w:u w:val="single"/>
        </w:rPr>
      </w:pPr>
      <w:r>
        <w:rPr>
          <w:rFonts w:eastAsia="Calibri" w:cs="Tahoma" w:ascii="Calibri" w:hAnsi="Calibri"/>
          <w:b/>
          <w:smallCaps/>
          <w:color w:val="000000"/>
          <w:sz w:val="20"/>
          <w:szCs w:val="20"/>
          <w:u w:val="single"/>
        </w:rPr>
      </w:r>
    </w:p>
    <w:p>
      <w:pPr>
        <w:pStyle w:val="Normal"/>
        <w:shd w:fill="7030A0" w:val="clear"/>
        <w:ind w:left="-426" w:right="-238" w:hanging="0"/>
        <w:jc w:val="both"/>
        <w:rPr>
          <w:rFonts w:ascii="Calibri" w:hAnsi="Calibri" w:cs="Calibri"/>
          <w:color w:val="FFFFFF"/>
          <w:sz w:val="20"/>
          <w:szCs w:val="20"/>
        </w:rPr>
      </w:pPr>
      <w:r>
        <w:rPr>
          <w:rFonts w:cs="Calibri" w:ascii="Calibri" w:hAnsi="Calibri"/>
          <w:b/>
          <w:color w:val="FFFFFF"/>
          <w:sz w:val="20"/>
          <w:szCs w:val="20"/>
        </w:rPr>
        <w:t>ARTICLE 1 - REMUNERATION</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Malgré les difficultés occasionnées par le contexte pandémique et les modes de travail hybrides, BearingPoint a su maintenir un service de qualité pour ses clients, générant une excellente performance économique pour l’année 2021, permettant de proposer, à l’occasion du cycle d’évaluation YER21, une enveloppe de rémunération individuelle (augmentations/bonus) et collective conséquente pour récompenser les efforts des salariés et rétribuer le travail accompli.</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b/>
          <w:b/>
          <w:bCs/>
          <w:sz w:val="20"/>
          <w:szCs w:val="20"/>
          <w:u w:val="single"/>
        </w:rPr>
      </w:pPr>
      <w:bookmarkStart w:id="4" w:name="_Hlk95729864"/>
      <w:bookmarkEnd w:id="4"/>
      <w:r>
        <w:rPr>
          <w:rFonts w:cs="Calibri" w:ascii="Calibri" w:hAnsi="Calibri"/>
          <w:b/>
          <w:bCs/>
          <w:sz w:val="20"/>
          <w:szCs w:val="20"/>
          <w:u w:val="single"/>
        </w:rPr>
        <w:t>AUGMENTATIONS</w:t>
      </w:r>
    </w:p>
    <w:p>
      <w:pPr>
        <w:pStyle w:val="Normal"/>
        <w:ind w:left="-426" w:right="-238" w:hanging="0"/>
        <w:jc w:val="both"/>
        <w:rPr>
          <w:rFonts w:ascii="Calibri" w:hAnsi="Calibri" w:cs="Calibri"/>
          <w:b/>
          <w:b/>
          <w:bCs/>
          <w:color w:val="000000"/>
          <w:sz w:val="20"/>
          <w:szCs w:val="20"/>
          <w:u w:val="single"/>
        </w:rPr>
      </w:pPr>
      <w:r>
        <w:rPr>
          <w:rFonts w:cs="Calibri" w:ascii="Calibri" w:hAnsi="Calibri"/>
          <w:b/>
          <w:bCs/>
          <w:color w:val="000000"/>
          <w:sz w:val="20"/>
          <w:szCs w:val="20"/>
          <w:u w:val="single"/>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Les augmentations auront lieu au mois de mars 2022.</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Les salariés éligibles à augmentation sont toutes les personnes arrivées dans l’entreprise avant le 1</w:t>
      </w:r>
      <w:r>
        <w:rPr>
          <w:rFonts w:cs="Calibri" w:ascii="Calibri" w:hAnsi="Calibri"/>
          <w:color w:val="000000"/>
          <w:sz w:val="20"/>
          <w:szCs w:val="20"/>
          <w:vertAlign w:val="superscript"/>
        </w:rPr>
        <w:t>er</w:t>
      </w:r>
      <w:r>
        <w:rPr>
          <w:rFonts w:cs="Calibri" w:ascii="Calibri" w:hAnsi="Calibri"/>
          <w:color w:val="000000"/>
          <w:sz w:val="20"/>
          <w:szCs w:val="20"/>
        </w:rPr>
        <w:t xml:space="preserve"> septembre 2021 et toujours présentes au 31 mars 2022, hors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 xml:space="preserve">Partners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LOA ayant été présents moins de 4 mois sur 2021</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départs notifiés avant le 31 mars 2022</w:t>
      </w:r>
    </w:p>
    <w:p>
      <w:pPr>
        <w:pStyle w:val="Normal"/>
        <w:numPr>
          <w:ilvl w:val="0"/>
          <w:numId w:val="5"/>
        </w:numPr>
        <w:ind w:left="66" w:right="-238" w:hanging="360"/>
        <w:jc w:val="both"/>
        <w:rPr/>
      </w:pPr>
      <w:r>
        <w:rPr>
          <w:rFonts w:cs="Calibri" w:ascii="Calibri" w:hAnsi="Calibri"/>
          <w:color w:val="000000"/>
          <w:sz w:val="20"/>
          <w:szCs w:val="20"/>
        </w:rPr>
        <w:t>contrats en alternance (apprentissage et professionnalisation)</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Pour mémoire, les personnes éligibles à évaluation sont :</w:t>
      </w:r>
    </w:p>
    <w:p>
      <w:pPr>
        <w:pStyle w:val="Normal"/>
        <w:numPr>
          <w:ilvl w:val="0"/>
          <w:numId w:val="5"/>
        </w:numPr>
        <w:ind w:left="66" w:right="-238" w:hanging="360"/>
        <w:jc w:val="both"/>
        <w:rPr/>
      </w:pPr>
      <w:r>
        <w:rPr>
          <w:rFonts w:cs="Calibri" w:ascii="Calibri" w:hAnsi="Calibri"/>
          <w:color w:val="000000"/>
          <w:sz w:val="20"/>
          <w:szCs w:val="20"/>
        </w:rPr>
        <w:t>tous les salariés nous ayant rejoints le 31 août 2021 au plus tard</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les salariés présents au moins 4 mois sur 2021</w:t>
      </w:r>
    </w:p>
    <w:p>
      <w:pPr>
        <w:pStyle w:val="Normal"/>
        <w:ind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Concernant les congés maternité et congés d’adoption, les dispositions légales et réglementaires s’appliqueront - sauf si la décision d’augmentation prise par l’associé est plus favorable - pour les personnes en congé maternité entre le 15 février 2022 et le 31 mars 2022.</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L’augmentation est applicable au retour de congé maternité ou, si la personne prend un congé parental temps plein, au retour de ce congé parental. Les dispositions légales prévoient que l’application de l’augmentation intervienne dès le 1</w:t>
      </w:r>
      <w:r>
        <w:rPr>
          <w:rFonts w:cs="Calibri" w:ascii="Calibri" w:hAnsi="Calibri"/>
          <w:color w:val="000000"/>
          <w:sz w:val="20"/>
          <w:szCs w:val="20"/>
          <w:vertAlign w:val="superscript"/>
        </w:rPr>
        <w:t>er</w:t>
      </w:r>
      <w:r>
        <w:rPr>
          <w:rFonts w:cs="Calibri" w:ascii="Calibri" w:hAnsi="Calibri"/>
          <w:color w:val="000000"/>
          <w:sz w:val="20"/>
          <w:szCs w:val="20"/>
        </w:rPr>
        <w:t xml:space="preserve"> jour du mois du retour de congé maternité ou du congé parental ; la mesure appliquée par BearingPoint est plus favorable, l’augmentation intervenant dès le 1</w:t>
      </w:r>
      <w:r>
        <w:rPr>
          <w:rFonts w:cs="Calibri" w:ascii="Calibri" w:hAnsi="Calibri"/>
          <w:color w:val="000000"/>
          <w:sz w:val="20"/>
          <w:szCs w:val="20"/>
          <w:vertAlign w:val="superscript"/>
        </w:rPr>
        <w:t>er</w:t>
      </w:r>
      <w:r>
        <w:rPr>
          <w:rFonts w:cs="Calibri" w:ascii="Calibri" w:hAnsi="Calibri"/>
          <w:color w:val="000000"/>
          <w:sz w:val="20"/>
          <w:szCs w:val="20"/>
        </w:rPr>
        <w:t xml:space="preserve"> mars.</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pPr>
      <w:r>
        <w:rPr>
          <w:rFonts w:cs="Calibri" w:ascii="Calibri" w:hAnsi="Calibri"/>
          <w:color w:val="000000"/>
          <w:sz w:val="20"/>
          <w:szCs w:val="20"/>
        </w:rPr>
        <w:t xml:space="preserve">Pour l’année 2022, la société BearingPoint s’engage sur les éléments d’augmentation suivants : </w:t>
      </w:r>
    </w:p>
    <w:p>
      <w:pPr>
        <w:pStyle w:val="Heading2"/>
        <w:keepLines/>
        <w:numPr>
          <w:ilvl w:val="1"/>
          <w:numId w:val="1"/>
        </w:numPr>
        <w:ind w:left="-426" w:right="-238" w:hanging="0"/>
        <w:jc w:val="left"/>
        <w:rPr>
          <w:rFonts w:ascii="Calibri" w:hAnsi="Calibri" w:cs="Calibri"/>
          <w:color w:val="000000"/>
          <w:sz w:val="20"/>
          <w:szCs w:val="20"/>
        </w:rPr>
      </w:pPr>
      <w:r>
        <w:rPr>
          <w:rFonts w:cs="Calibri" w:ascii="Calibri" w:hAnsi="Calibri"/>
          <w:color w:val="000000"/>
          <w:sz w:val="20"/>
          <w:szCs w:val="20"/>
        </w:rPr>
      </w:r>
    </w:p>
    <w:p>
      <w:pPr>
        <w:pStyle w:val="Heading2"/>
        <w:keepLines/>
        <w:numPr>
          <w:ilvl w:val="2"/>
          <w:numId w:val="3"/>
        </w:numPr>
        <w:ind w:left="284" w:right="-238" w:hanging="710"/>
        <w:jc w:val="left"/>
        <w:rPr/>
      </w:pPr>
      <w:r>
        <w:rPr>
          <w:rFonts w:cs="Calibri" w:ascii="Calibri" w:hAnsi="Calibri"/>
          <w:color w:val="00B0F0"/>
          <w:sz w:val="20"/>
          <w:szCs w:val="20"/>
        </w:rPr>
        <w:t>Population Consultant</w:t>
      </w:r>
    </w:p>
    <w:p>
      <w:pPr>
        <w:pStyle w:val="Paragraphedeliste"/>
        <w:tabs>
          <w:tab w:val="left" w:pos="0" w:leader="none"/>
        </w:tabs>
        <w:ind w:left="294" w:right="-238" w:hanging="0"/>
        <w:jc w:val="both"/>
        <w:rPr>
          <w:rFonts w:ascii="Calibri" w:hAnsi="Calibri" w:cs="Calibri"/>
          <w:color w:val="000000"/>
          <w:sz w:val="20"/>
          <w:szCs w:val="20"/>
        </w:rPr>
      </w:pPr>
      <w:bookmarkStart w:id="5" w:name="_Hlk536116922"/>
      <w:bookmarkStart w:id="6" w:name="_Hlk536116922"/>
      <w:bookmarkEnd w:id="6"/>
      <w:r>
        <w:rPr>
          <w:rFonts w:cs="Calibri"/>
          <w:color w:val="000000"/>
          <w:sz w:val="20"/>
          <w:szCs w:val="20"/>
        </w:rPr>
      </w:r>
    </w:p>
    <w:p>
      <w:pPr>
        <w:pStyle w:val="Paragraphedeliste"/>
        <w:tabs>
          <w:tab w:val="left" w:pos="0" w:leader="none"/>
        </w:tabs>
        <w:ind w:left="-426" w:right="-238" w:hanging="0"/>
        <w:jc w:val="both"/>
        <w:rPr>
          <w:rFonts w:cs="Calibri"/>
          <w:color w:val="000000"/>
          <w:sz w:val="20"/>
          <w:szCs w:val="20"/>
        </w:rPr>
      </w:pPr>
      <w:bookmarkStart w:id="7" w:name="_Hlk505866439"/>
      <w:bookmarkEnd w:id="7"/>
      <w:r>
        <w:rPr>
          <w:rFonts w:cs="Calibri"/>
          <w:color w:val="000000"/>
          <w:sz w:val="20"/>
          <w:szCs w:val="20"/>
        </w:rPr>
        <w:t>L’enveloppe d’augmentation pour 2022 représentera 4,875K€ y compris cotisations patronales soit 6,8% de la masse salariale brute de la population éligible à augmentation à la date d’effet des augmentations.</w:t>
      </w:r>
    </w:p>
    <w:p>
      <w:pPr>
        <w:pStyle w:val="Paragraphedeliste"/>
        <w:tabs>
          <w:tab w:val="left" w:pos="0" w:leader="none"/>
        </w:tabs>
        <w:ind w:left="-425" w:right="-238" w:hanging="0"/>
        <w:jc w:val="both"/>
        <w:rPr>
          <w:rFonts w:cs="Calibri"/>
          <w:color w:val="000000"/>
          <w:sz w:val="20"/>
          <w:szCs w:val="20"/>
        </w:rPr>
      </w:pPr>
      <w:bookmarkStart w:id="8" w:name="_Hlk536116922"/>
      <w:bookmarkStart w:id="9" w:name="_Hlk505866439"/>
      <w:bookmarkStart w:id="10" w:name="_Hlk536116922"/>
      <w:bookmarkStart w:id="11" w:name="_Hlk505866439"/>
      <w:bookmarkEnd w:id="10"/>
      <w:bookmarkEnd w:id="11"/>
      <w:r>
        <w:rPr>
          <w:rFonts w:cs="Calibri"/>
          <w:color w:val="000000"/>
          <w:sz w:val="20"/>
          <w:szCs w:val="20"/>
        </w:rPr>
      </w:r>
    </w:p>
    <w:p>
      <w:pPr>
        <w:pStyle w:val="Paragraphedeliste"/>
        <w:tabs>
          <w:tab w:val="left" w:pos="0" w:leader="none"/>
        </w:tabs>
        <w:ind w:left="-425" w:right="-238" w:hanging="0"/>
        <w:jc w:val="both"/>
        <w:rPr>
          <w:rFonts w:cs="Calibri"/>
          <w:color w:val="000000"/>
          <w:sz w:val="20"/>
          <w:szCs w:val="20"/>
        </w:rPr>
      </w:pPr>
      <w:r>
        <w:rPr>
          <w:rFonts w:cs="Calibri"/>
          <w:color w:val="000000"/>
          <w:sz w:val="20"/>
          <w:szCs w:val="20"/>
        </w:rPr>
        <w:t>Tous les consultants, quelle que soit leur note de performance et leur date d’arrivée, seront positionnés à la nouvelle grille de rémunération fixe.</w:t>
      </w:r>
    </w:p>
    <w:p>
      <w:pPr>
        <w:pStyle w:val="Paragraphedeliste"/>
        <w:tabs>
          <w:tab w:val="left" w:pos="0" w:leader="none"/>
        </w:tabs>
        <w:ind w:left="-425" w:right="-238" w:hanging="0"/>
        <w:jc w:val="both"/>
        <w:rPr>
          <w:rFonts w:cs="Calibri"/>
          <w:color w:val="000000"/>
          <w:sz w:val="20"/>
          <w:szCs w:val="20"/>
        </w:rPr>
      </w:pPr>
      <w:r>
        <w:rPr>
          <w:rFonts w:cs="Calibri"/>
          <w:color w:val="000000"/>
          <w:sz w:val="20"/>
          <w:szCs w:val="20"/>
        </w:rPr>
        <w:t>En revanche, les consultants, dont le salaire est déjà positionné à la grille, ne bénéficieront pas d’augmentation (hors promotion).</w:t>
      </w:r>
    </w:p>
    <w:p>
      <w:pPr>
        <w:pStyle w:val="Paragraphedeliste"/>
        <w:tabs>
          <w:tab w:val="left" w:pos="0" w:leader="none"/>
        </w:tabs>
        <w:ind w:left="-425" w:right="-238" w:hanging="0"/>
        <w:jc w:val="both"/>
        <w:rPr>
          <w:rFonts w:cs="Calibri"/>
          <w:color w:val="000000"/>
          <w:sz w:val="20"/>
          <w:szCs w:val="20"/>
        </w:rPr>
      </w:pPr>
      <w:r>
        <w:rPr>
          <w:rFonts w:cs="Calibri"/>
          <w:color w:val="000000"/>
          <w:sz w:val="20"/>
          <w:szCs w:val="20"/>
        </w:rPr>
      </w:r>
    </w:p>
    <w:p>
      <w:pPr>
        <w:pStyle w:val="Paragraphedeliste"/>
        <w:ind w:left="-425" w:right="-238" w:hanging="0"/>
        <w:jc w:val="both"/>
        <w:rPr>
          <w:rFonts w:cs="Calibri"/>
          <w:b/>
          <w:b/>
          <w:bCs/>
          <w:color w:val="7030A0"/>
          <w:sz w:val="20"/>
          <w:szCs w:val="20"/>
        </w:rPr>
      </w:pPr>
      <w:r>
        <w:rPr>
          <w:rFonts w:cs="Calibri"/>
          <w:b/>
          <w:bCs/>
          <w:color w:val="7030A0"/>
          <w:sz w:val="20"/>
          <w:szCs w:val="20"/>
        </w:rPr>
        <w:t>« Consultants » en dessous du grade Manager</w:t>
      </w:r>
    </w:p>
    <w:p>
      <w:pPr>
        <w:pStyle w:val="Paragraphedeliste"/>
        <w:tabs>
          <w:tab w:val="left" w:pos="0" w:leader="none"/>
        </w:tabs>
        <w:ind w:left="-425" w:right="-238" w:hanging="0"/>
        <w:jc w:val="both"/>
        <w:rPr>
          <w:rFonts w:cs="Calibri"/>
          <w:b/>
          <w:b/>
          <w:bCs/>
          <w:color w:val="000000"/>
          <w:sz w:val="20"/>
          <w:szCs w:val="20"/>
        </w:rPr>
      </w:pPr>
      <w:r>
        <w:rPr>
          <w:rFonts w:cs="Calibri"/>
          <w:b/>
          <w:bCs/>
          <w:color w:val="000000"/>
          <w:sz w:val="20"/>
          <w:szCs w:val="20"/>
        </w:rPr>
      </w:r>
    </w:p>
    <w:p>
      <w:pPr>
        <w:pStyle w:val="Normal"/>
        <w:ind w:left="-425" w:right="-238" w:hanging="0"/>
        <w:jc w:val="both"/>
        <w:rPr>
          <w:rFonts w:ascii="Calibri" w:hAnsi="Calibri" w:eastAsia="Calibri" w:cs="Calibri"/>
          <w:color w:val="000000"/>
          <w:sz w:val="20"/>
          <w:szCs w:val="20"/>
        </w:rPr>
      </w:pPr>
      <w:r>
        <w:rPr>
          <w:rFonts w:eastAsia="Calibri" w:cs="Calibri" w:ascii="Calibri" w:hAnsi="Calibri"/>
          <w:color w:val="000000"/>
          <w:sz w:val="20"/>
          <w:szCs w:val="20"/>
        </w:rPr>
        <w:t>La grille de salaires des « staff » (en-dessous du grade de Manager) évolue chaque année pour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proposer des rémunérations attractives, en lien avec les salaires de marché</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harmoniser les rémunérations de chaque grade</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gommer progressivement les différences de rémunération entre périmètres écoles des grades analyst et consultant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Paragraphedeliste"/>
        <w:tabs>
          <w:tab w:val="left" w:pos="0" w:leader="none"/>
        </w:tabs>
        <w:ind w:left="-425" w:right="-238" w:hanging="0"/>
        <w:jc w:val="both"/>
        <w:rPr>
          <w:rFonts w:cs="Calibri"/>
          <w:color w:val="000000"/>
          <w:sz w:val="20"/>
          <w:szCs w:val="20"/>
        </w:rPr>
      </w:pPr>
      <w:r>
        <w:rPr>
          <w:rFonts w:cs="Calibri"/>
          <w:color w:val="000000"/>
          <w:sz w:val="20"/>
          <w:szCs w:val="20"/>
        </w:rPr>
        <w:t>Une nouvelle grille de salaire est désormais applicable au 1</w:t>
      </w:r>
      <w:r>
        <w:rPr>
          <w:rFonts w:cs="Calibri"/>
          <w:color w:val="000000"/>
          <w:sz w:val="20"/>
          <w:szCs w:val="20"/>
          <w:vertAlign w:val="superscript"/>
        </w:rPr>
        <w:t>er</w:t>
      </w:r>
      <w:r>
        <w:rPr>
          <w:rFonts w:cs="Calibri"/>
          <w:color w:val="000000"/>
          <w:sz w:val="20"/>
          <w:szCs w:val="20"/>
        </w:rPr>
        <w:t xml:space="preserve"> mars 2022, étant précisé qu’elle avait déjà été partiellement mise en œuvre en septembre 2021 pour le grade Analyst, et généralisée aux autres grades en mars 2022. Cette nouvelle grille, qui se veut plus dynamique en proposant des pourcentages d’augmentations plus élevés à l’intérieur de chaque grade entre 2 promotions, répond aux attentes des salariés et à nos enjeux de rétention.</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bookmarkStart w:id="12" w:name="_Hlk34748359"/>
      <w:bookmarkEnd w:id="12"/>
      <w:r>
        <w:rPr>
          <w:rFonts w:eastAsia="Calibri" w:cs="Calibri" w:ascii="Calibri" w:hAnsi="Calibri"/>
          <w:color w:val="000000"/>
          <w:sz w:val="20"/>
          <w:szCs w:val="20"/>
        </w:rPr>
        <w:t>Les principes et spécificités sont les suivants :</w:t>
      </w:r>
    </w:p>
    <w:p>
      <w:pPr>
        <w:pStyle w:val="Normal"/>
        <w:numPr>
          <w:ilvl w:val="0"/>
          <w:numId w:val="5"/>
        </w:numPr>
        <w:ind w:left="66" w:right="-238" w:hanging="360"/>
        <w:jc w:val="both"/>
        <w:rPr>
          <w:rFonts w:ascii="Calibri" w:hAnsi="Calibri" w:eastAsia="Calibri" w:cs="Calibri"/>
          <w:color w:val="000000"/>
          <w:sz w:val="20"/>
          <w:szCs w:val="20"/>
        </w:rPr>
      </w:pPr>
      <w:bookmarkStart w:id="13" w:name="_Hlk34748359"/>
      <w:bookmarkEnd w:id="13"/>
      <w:r>
        <w:rPr>
          <w:rFonts w:eastAsia="Calibri" w:cs="Calibri" w:ascii="Calibri" w:hAnsi="Calibri"/>
          <w:color w:val="000000"/>
          <w:sz w:val="20"/>
          <w:szCs w:val="20"/>
        </w:rPr>
        <w:t>les analysts ont bénéficié d’une revalorisation de salaires en septembre 2021, sauf ceux déjà positionnés à la nouvelle grille de salaires</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analysts non promus sont tous positionnés à la nouvelle grille de salaire des analysts expérimentés</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les analysts promus au grade de consultant et les consultants promus au grade de senior consultant sont tous positionnés à la grille de promotion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consultants et senior consultants non promus sont tous positionnés à la nouvelle grille de salaire des C/SC expérimentés</w:t>
      </w:r>
    </w:p>
    <w:p>
      <w:pPr>
        <w:pStyle w:val="Normal"/>
        <w:ind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Paragraphedeliste"/>
        <w:ind w:left="-426" w:right="-238" w:hanging="0"/>
        <w:jc w:val="both"/>
        <w:rPr>
          <w:rFonts w:cs="Calibri"/>
          <w:b/>
          <w:b/>
          <w:iCs/>
          <w:color w:val="7030A0"/>
          <w:sz w:val="21"/>
          <w:szCs w:val="21"/>
        </w:rPr>
      </w:pPr>
      <w:r>
        <w:rPr>
          <w:rFonts w:cs="Calibri"/>
          <w:b/>
          <w:iCs/>
          <w:color w:val="7030A0"/>
          <w:sz w:val="21"/>
          <w:szCs w:val="21"/>
        </w:rPr>
        <w:t>Grades de Manager et plus</w:t>
      </w:r>
    </w:p>
    <w:p>
      <w:pPr>
        <w:pStyle w:val="Paragraphedeliste"/>
        <w:ind w:left="-426" w:right="-238" w:hanging="0"/>
        <w:jc w:val="both"/>
        <w:rPr>
          <w:rFonts w:cs="Calibri"/>
          <w:b/>
          <w:b/>
          <w:i/>
          <w:i/>
          <w:iCs/>
          <w:color w:val="000000"/>
          <w:sz w:val="21"/>
          <w:szCs w:val="21"/>
        </w:rPr>
      </w:pPr>
      <w:r>
        <w:rPr>
          <w:rFonts w:cs="Calibri"/>
          <w:b/>
          <w:i/>
          <w:iCs/>
          <w:color w:val="000000"/>
          <w:sz w:val="21"/>
          <w:szCs w:val="21"/>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L’entreprise ne souhaite pas mettre en place une grille de salaires figée pour les grades de Manager/Senior Manager/Director, mais souhaite appliquer des rémunérations seuils minimales.</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Ainsi, pour 2022, les rémunérations seuils des nouveaux promus sont revalorisées dans les conditions suivantes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promotion Manager : rémunération seuil minimale brute annuelle de 70K€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promotion Senior Manager : rémunération seuil minimale brute annuelle de 82K€</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La rémunération seuil du grade Director reste inchangée et est fixée à 125K€ bruts annuels.</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u w:val="single"/>
        </w:rPr>
      </w:pPr>
      <w:r>
        <w:rPr>
          <w:rFonts w:eastAsia="Calibri" w:cs="Calibri" w:ascii="Calibri" w:hAnsi="Calibri"/>
          <w:color w:val="000000"/>
          <w:sz w:val="20"/>
          <w:szCs w:val="20"/>
          <w:u w:val="single"/>
        </w:rPr>
        <w:t>Statut Advanced</w:t>
      </w:r>
    </w:p>
    <w:p>
      <w:pPr>
        <w:pStyle w:val="Normal"/>
        <w:ind w:left="-426" w:right="-7" w:hanging="0"/>
        <w:jc w:val="both"/>
        <w:rPr>
          <w:rFonts w:ascii="Calibri" w:hAnsi="Calibri" w:eastAsia="Calibri" w:cs="Calibri"/>
          <w:color w:val="000000"/>
          <w:sz w:val="20"/>
          <w:szCs w:val="20"/>
          <w:u w:val="single"/>
        </w:rPr>
      </w:pPr>
      <w:r>
        <w:rPr>
          <w:rFonts w:eastAsia="Calibri" w:cs="Calibri" w:ascii="Calibri" w:hAnsi="Calibri"/>
          <w:color w:val="000000"/>
          <w:sz w:val="20"/>
          <w:szCs w:val="20"/>
          <w:u w:val="single"/>
        </w:rPr>
      </w:r>
    </w:p>
    <w:p>
      <w:pPr>
        <w:pStyle w:val="Normal"/>
        <w:ind w:left="-426" w:right="-7" w:hanging="0"/>
        <w:jc w:val="both"/>
        <w:rPr/>
      </w:pPr>
      <w:r>
        <w:rPr>
          <w:rFonts w:eastAsia="Calibri" w:cs="Calibri" w:ascii="Calibri" w:hAnsi="Calibri"/>
          <w:color w:val="000000"/>
          <w:sz w:val="20"/>
          <w:szCs w:val="20"/>
        </w:rPr>
        <w:t xml:space="preserve">Le statut Advanced des grades Manager et Senior Manager officialise un potentiel d’évolution avéré pour accéder au grade supérieur :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un Manager Advanced est un manager que les partners projettent au grade Senior Manager au moment de l’évaluation</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un Senior Manager Advanced est un senior manager que les partners projettent Director ou Partner au moment de l’évaluation</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Ce statut Advanced se traduit notamment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par des objectifs individuels ambitieux en termes de développement commercial</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un impact positif sur la rémunération avec un salaire cible associé :</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rémunération brute annuelle de 75k€ pour un Manager Advanced</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rémunération brute annuelle cible de 95k€ pour un Senior Manager Advanced avec une augmentation en 2 temps pour se rapprocher du salaire cible : 88k€ en 2022</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pPr>
      <w:r>
        <w:rPr>
          <w:rFonts w:eastAsia="Calibri" w:cs="Calibri" w:ascii="Calibri" w:hAnsi="Calibri"/>
          <w:color w:val="000000"/>
          <w:sz w:val="20"/>
          <w:szCs w:val="20"/>
        </w:rPr>
        <w:t>Comme l’an dernier, les augmentations seront plafonnées pour ces personnes à 10%. Si les personnes positionnées en Advanced ont déjà un salaire supérieur au salaire cible, il n’y aura pas d’augmentation.</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Les augmentations des managers, seniors managers et DA interviennent dans les conditions ci-après :</w:t>
      </w:r>
    </w:p>
    <w:p>
      <w:pPr>
        <w:pStyle w:val="Normal"/>
        <w:numPr>
          <w:ilvl w:val="0"/>
          <w:numId w:val="5"/>
        </w:numPr>
        <w:ind w:left="66" w:right="-7" w:hanging="360"/>
        <w:jc w:val="both"/>
        <w:rPr/>
      </w:pPr>
      <w:r>
        <w:rPr>
          <w:rFonts w:eastAsia="Calibri" w:cs="Calibri" w:ascii="Calibri" w:hAnsi="Calibri"/>
          <w:color w:val="000000"/>
          <w:sz w:val="20"/>
          <w:szCs w:val="20"/>
        </w:rPr>
        <w:t>promotions aux grades de Manager, Senior Manager et Directeur Associé</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positionnement au statut Advanced</w:t>
      </w:r>
    </w:p>
    <w:p>
      <w:pPr>
        <w:pStyle w:val="Normal"/>
        <w:numPr>
          <w:ilvl w:val="0"/>
          <w:numId w:val="5"/>
        </w:numPr>
        <w:ind w:left="66" w:right="-7" w:hanging="360"/>
        <w:jc w:val="both"/>
        <w:rPr/>
      </w:pPr>
      <w:r>
        <w:rPr>
          <w:rFonts w:eastAsia="Calibri" w:cs="Calibri" w:ascii="Calibri" w:hAnsi="Calibri"/>
          <w:color w:val="000000"/>
          <w:sz w:val="20"/>
          <w:szCs w:val="20"/>
        </w:rPr>
        <w:t>second pallier (pour atteindre le salaire cible) des personnes positionnées en 2021 au statut Senior Manager Advanced et dont le salaire n’avait pas été porté à 95K€ du fait du plafonnement</w:t>
      </w:r>
    </w:p>
    <w:p>
      <w:pPr>
        <w:pStyle w:val="Normal"/>
        <w:numPr>
          <w:ilvl w:val="0"/>
          <w:numId w:val="5"/>
        </w:numPr>
        <w:ind w:left="66" w:right="-7" w:hanging="360"/>
        <w:jc w:val="both"/>
        <w:rPr/>
      </w:pPr>
      <w:r>
        <w:rPr>
          <w:rFonts w:eastAsia="Calibri" w:cs="Calibri" w:ascii="Calibri" w:hAnsi="Calibri"/>
          <w:color w:val="000000"/>
          <w:sz w:val="20"/>
          <w:szCs w:val="20"/>
        </w:rPr>
        <w:t>salariées concernées par les dispositions légales et réglementaires en matière de congé maternité et congé d’adoption</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application de l’article L.2141-5-1 du code du travail</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Enfin, et quel que soit le grade, des exceptions à ces règles, validées par le Comex, pourront éventuellement être appliquées et expliquées aux collaborateurs concernés.</w:t>
      </w:r>
    </w:p>
    <w:p>
      <w:pPr>
        <w:pStyle w:val="Normal"/>
        <w:ind w:left="-426" w:right="-7" w:hanging="0"/>
        <w:jc w:val="both"/>
        <w:rPr>
          <w:rFonts w:ascii="Calibri" w:hAnsi="Calibri" w:eastAsia="Calibri" w:cs="Calibri"/>
          <w:color w:val="000000"/>
          <w:sz w:val="20"/>
          <w:szCs w:val="20"/>
        </w:rPr>
      </w:pPr>
      <w:bookmarkStart w:id="14" w:name="_Hlk95729864"/>
      <w:bookmarkStart w:id="15" w:name="_Hlk95729864"/>
      <w:bookmarkEnd w:id="15"/>
      <w:r>
        <w:rPr>
          <w:rFonts w:eastAsia="Calibri" w:cs="Calibri" w:ascii="Calibri" w:hAnsi="Calibri"/>
          <w:color w:val="000000"/>
          <w:sz w:val="20"/>
          <w:szCs w:val="20"/>
        </w:rPr>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t>Nouveau Path Expert</w:t>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 path Expert a été mis en place comme une filière d’excellence, pour le développement du business avec des trajectoires de carrière attractives et un package de rémunération compétitif. La mise en place de cette nouvelle filière a fait l’objet d’une consultation du CSE en février 2022.</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Types d’expertise ciblés : compétences fonctionnelles &amp; technologiques</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3 niveaux ont été définis :</w:t>
      </w:r>
    </w:p>
    <w:p>
      <w:pPr>
        <w:pStyle w:val="Normal"/>
        <w:numPr>
          <w:ilvl w:val="0"/>
          <w:numId w:val="5"/>
        </w:numPr>
        <w:ind w:left="66" w:right="-7" w:hanging="360"/>
        <w:jc w:val="both"/>
        <w:rPr/>
      </w:pPr>
      <w:r>
        <w:rPr>
          <w:rFonts w:eastAsia="Calibri" w:cs="Calibri" w:ascii="Calibri" w:hAnsi="Calibri"/>
          <w:color w:val="000000"/>
          <w:sz w:val="20"/>
          <w:szCs w:val="20"/>
        </w:rPr>
        <w:t>expert : 4 à 8 ans d’expérience</w:t>
      </w:r>
    </w:p>
    <w:p>
      <w:pPr>
        <w:pStyle w:val="Normal"/>
        <w:numPr>
          <w:ilvl w:val="0"/>
          <w:numId w:val="5"/>
        </w:numPr>
        <w:ind w:left="66" w:right="-7" w:hanging="360"/>
        <w:jc w:val="both"/>
        <w:rPr/>
      </w:pPr>
      <w:r>
        <w:rPr>
          <w:rFonts w:eastAsia="Calibri" w:cs="Calibri" w:ascii="Calibri" w:hAnsi="Calibri"/>
          <w:color w:val="000000"/>
          <w:sz w:val="20"/>
          <w:szCs w:val="20"/>
        </w:rPr>
        <w:t>senior expert : 6 à 12 ans d’expérience</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expertise director : </w:t>
      </w:r>
      <w:r>
        <w:rPr>
          <w:rFonts w:eastAsia="Calibri" w:cs="Calibri" w:ascii="Calibri" w:hAnsi="Calibri"/>
          <w:color w:val="000000"/>
          <w:sz w:val="18"/>
          <w:szCs w:val="18"/>
        </w:rPr>
        <w:t>&gt;</w:t>
      </w:r>
      <w:r>
        <w:rPr>
          <w:rFonts w:eastAsia="Calibri" w:cs="Calibri" w:ascii="Calibri" w:hAnsi="Calibri"/>
          <w:color w:val="000000"/>
          <w:sz w:val="20"/>
          <w:szCs w:val="20"/>
        </w:rPr>
        <w:t>12 ans d’expérience</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Des fourchettes de salaire fixe ont été définis à chaque niveau, en lien avec les salaires de marché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expert : de 60 à 85k€</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senior expert : de 90 à 120k€</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expertise director : de 125 à 160k€</w:t>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r>
    </w:p>
    <w:p>
      <w:pPr>
        <w:pStyle w:val="Normal"/>
        <w:ind w:left="-426" w:right="-7" w:hanging="0"/>
        <w:jc w:val="both"/>
        <w:rPr>
          <w:rFonts w:ascii="Calibri" w:hAnsi="Calibri" w:eastAsia="Calibri" w:cs="Calibri"/>
          <w:sz w:val="20"/>
          <w:szCs w:val="20"/>
        </w:rPr>
      </w:pPr>
      <w:r>
        <w:rPr>
          <w:rFonts w:eastAsia="Calibri" w:cs="Calibri" w:ascii="Calibri" w:hAnsi="Calibri"/>
          <w:sz w:val="20"/>
          <w:szCs w:val="20"/>
        </w:rPr>
        <w:t>En matière d’objectifs annuels, ces experts devront atteindre des minimum contributions (requirements) et auront des objectifs qualitatifs individuels :</w:t>
      </w:r>
    </w:p>
    <w:p>
      <w:pPr>
        <w:pStyle w:val="Normal"/>
        <w:numPr>
          <w:ilvl w:val="0"/>
          <w:numId w:val="5"/>
        </w:numPr>
        <w:ind w:left="66" w:right="-7" w:hanging="360"/>
        <w:jc w:val="both"/>
        <w:rPr>
          <w:rFonts w:ascii="Calibri" w:hAnsi="Calibri" w:eastAsia="Calibri" w:cs="Calibri"/>
          <w:sz w:val="20"/>
          <w:szCs w:val="20"/>
        </w:rPr>
      </w:pPr>
      <w:r>
        <w:rPr>
          <w:rFonts w:eastAsia="Calibri" w:cs="Calibri" w:ascii="Calibri" w:hAnsi="Calibri"/>
          <w:sz w:val="20"/>
          <w:szCs w:val="20"/>
        </w:rPr>
        <w:t>Minimum requirements sur bookings et production (comme pour le Path Management)</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Taux d’utilization &gt; path Management (à définir)</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Autres KPIs : nombre de clients/an, nombre de propales gagnantes pour lesquelles l’expert a fortement contribué</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Objectifs HOW individuels regroupés en 3 dimensions : </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Client &amp; Sales</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Markets &amp; Content</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People</w:t>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t>Partners</w:t>
      </w:r>
    </w:p>
    <w:p>
      <w:pPr>
        <w:pStyle w:val="Normal"/>
        <w:ind w:left="-426" w:right="-7" w:hanging="0"/>
        <w:jc w:val="both"/>
        <w:rPr>
          <w:rFonts w:ascii="Calibri" w:hAnsi="Calibri" w:eastAsia="Calibri" w:cs="Calibri"/>
          <w:b/>
          <w:b/>
          <w:bCs/>
          <w:color w:val="000000"/>
          <w:sz w:val="20"/>
          <w:szCs w:val="20"/>
        </w:rPr>
      </w:pPr>
      <w:r>
        <w:rPr>
          <w:rFonts w:eastAsia="Calibri" w:cs="Calibri" w:ascii="Calibri" w:hAnsi="Calibri"/>
          <w:b/>
          <w:bCs/>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 plan de rémunération des Partners étant défini au niveau du Groupe, la Direction française ne peut prendre aucun engagement sur cette population.</w:t>
      </w:r>
    </w:p>
    <w:p>
      <w:pPr>
        <w:pStyle w:val="Paragraphedeliste"/>
        <w:tabs>
          <w:tab w:val="left" w:pos="0" w:leader="none"/>
          <w:tab w:val="left" w:pos="851" w:leader="none"/>
        </w:tabs>
        <w:ind w:left="-426" w:right="-238" w:hanging="0"/>
        <w:jc w:val="both"/>
        <w:rPr>
          <w:rFonts w:ascii="Calibri" w:hAnsi="Calibri" w:eastAsia="Calibri" w:cs="Calibri"/>
          <w:b/>
          <w:b/>
          <w:color w:val="000000"/>
          <w:sz w:val="20"/>
          <w:szCs w:val="20"/>
        </w:rPr>
      </w:pPr>
      <w:r>
        <w:rPr>
          <w:rFonts w:eastAsia="Calibri" w:cs="Calibri"/>
          <w:b/>
          <w:color w:val="000000"/>
          <w:sz w:val="20"/>
          <w:szCs w:val="20"/>
        </w:rPr>
      </w:r>
    </w:p>
    <w:p>
      <w:pPr>
        <w:pStyle w:val="Heading2"/>
        <w:keepLines/>
        <w:numPr>
          <w:ilvl w:val="2"/>
          <w:numId w:val="3"/>
        </w:numPr>
        <w:ind w:left="284" w:right="-238" w:hanging="710"/>
        <w:jc w:val="left"/>
        <w:rPr>
          <w:rFonts w:ascii="Calibri" w:hAnsi="Calibri" w:cs="Calibri"/>
          <w:color w:val="00B0F0"/>
          <w:sz w:val="20"/>
          <w:szCs w:val="20"/>
        </w:rPr>
      </w:pPr>
      <w:r>
        <w:rPr>
          <w:rFonts w:cs="Calibri" w:ascii="Calibri" w:hAnsi="Calibri"/>
          <w:color w:val="00B0F0"/>
          <w:sz w:val="20"/>
          <w:szCs w:val="20"/>
        </w:rPr>
        <w:t>Population « Support »</w:t>
      </w:r>
    </w:p>
    <w:p>
      <w:pPr>
        <w:pStyle w:val="Normal"/>
        <w:ind w:right="-238" w:hanging="0"/>
        <w:jc w:val="both"/>
        <w:rPr>
          <w:rFonts w:ascii="Calibri" w:hAnsi="Calibri" w:cs="Calibri"/>
          <w:color w:val="000000"/>
          <w:sz w:val="20"/>
          <w:szCs w:val="20"/>
        </w:rPr>
      </w:pPr>
      <w:r>
        <w:rPr>
          <w:rFonts w:cs="Calibri" w:ascii="Calibri" w:hAnsi="Calibri"/>
          <w:color w:val="000000"/>
          <w:sz w:val="20"/>
          <w:szCs w:val="20"/>
        </w:rPr>
      </w:r>
    </w:p>
    <w:p>
      <w:pPr>
        <w:pStyle w:val="Paragraphedeliste"/>
        <w:tabs>
          <w:tab w:val="left" w:pos="-142" w:leader="none"/>
        </w:tabs>
        <w:ind w:left="-426" w:right="-238" w:hanging="0"/>
        <w:jc w:val="both"/>
        <w:rPr/>
      </w:pPr>
      <w:bookmarkStart w:id="16" w:name="_Hlk31640594"/>
      <w:bookmarkStart w:id="17" w:name="_Hlk505866849"/>
      <w:bookmarkEnd w:id="16"/>
      <w:bookmarkEnd w:id="17"/>
      <w:r>
        <w:rPr>
          <w:rFonts w:cs="Calibri"/>
          <w:color w:val="000000"/>
          <w:sz w:val="20"/>
          <w:szCs w:val="20"/>
        </w:rPr>
        <w:t>L’enveloppe d’augmentation pour 2022 représentera 170k€ y compris cotisations patronales, soit 3% de la masse salariale brute de la population « support » éligible à augmentation à la date d’effet des augmentations.</w:t>
      </w:r>
    </w:p>
    <w:p>
      <w:pPr>
        <w:pStyle w:val="Paragraphedeliste"/>
        <w:tabs>
          <w:tab w:val="left" w:pos="-142" w:leader="none"/>
        </w:tabs>
        <w:ind w:left="-426" w:right="-238" w:hanging="0"/>
        <w:jc w:val="both"/>
        <w:rPr>
          <w:rFonts w:cs="Calibri"/>
          <w:color w:val="000000"/>
          <w:sz w:val="20"/>
          <w:szCs w:val="20"/>
        </w:rPr>
      </w:pPr>
      <w:bookmarkStart w:id="18" w:name="_Hlk31640594"/>
      <w:bookmarkStart w:id="19" w:name="_Hlk505866849"/>
      <w:bookmarkStart w:id="20" w:name="_Hlk31640594"/>
      <w:bookmarkStart w:id="21" w:name="_Hlk505866849"/>
      <w:bookmarkEnd w:id="20"/>
      <w:bookmarkEnd w:id="21"/>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Les principes d’augmentation 2022 pour la population Support sont inchangés par rapport à 2021.</w:t>
      </w:r>
    </w:p>
    <w:p>
      <w:pPr>
        <w:pStyle w:val="Normal"/>
        <w:tabs>
          <w:tab w:val="left" w:pos="-142" w:leader="none"/>
          <w:tab w:val="left" w:pos="284" w:leader="none"/>
        </w:tabs>
        <w:ind w:left="-426" w:right="-238" w:hanging="0"/>
        <w:jc w:val="both"/>
        <w:rPr>
          <w:rFonts w:ascii="Calibri" w:hAnsi="Calibri" w:cs="Calibri"/>
          <w:sz w:val="20"/>
          <w:szCs w:val="20"/>
        </w:rPr>
      </w:pPr>
      <w:r>
        <w:rPr>
          <w:rFonts w:cs="Calibri" w:ascii="Calibri" w:hAnsi="Calibri"/>
          <w:sz w:val="20"/>
          <w:szCs w:val="20"/>
        </w:rPr>
        <w:t>Les règles d’augmentation sont les suivantes :</w:t>
      </w:r>
    </w:p>
    <w:p>
      <w:pPr>
        <w:pStyle w:val="Normal"/>
        <w:tabs>
          <w:tab w:val="left" w:pos="-142" w:leader="none"/>
          <w:tab w:val="left" w:pos="284" w:leader="none"/>
        </w:tabs>
        <w:ind w:left="-426" w:right="-238" w:hanging="0"/>
        <w:jc w:val="both"/>
        <w:rPr>
          <w:rFonts w:ascii="Calibri" w:hAnsi="Calibri" w:cs="Calibri"/>
          <w:sz w:val="20"/>
          <w:szCs w:val="20"/>
        </w:rPr>
      </w:pPr>
      <w:r>
        <w:rPr>
          <w:rFonts w:cs="Calibri" w:ascii="Calibri" w:hAnsi="Calibri"/>
          <w:sz w:val="20"/>
          <w:szCs w:val="20"/>
        </w:rPr>
      </w:r>
    </w:p>
    <w:tbl>
      <w:tblPr>
        <w:tblW w:w="7807" w:type="dxa"/>
        <w:jc w:val="left"/>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60" w:type="dxa"/>
          <w:bottom w:w="0" w:type="dxa"/>
          <w:right w:w="70" w:type="dxa"/>
        </w:tblCellMar>
      </w:tblPr>
      <w:tblGrid>
        <w:gridCol w:w="3468"/>
        <w:gridCol w:w="993"/>
        <w:gridCol w:w="1275"/>
        <w:gridCol w:w="993"/>
        <w:gridCol w:w="1078"/>
      </w:tblGrid>
      <w:tr>
        <w:trPr>
          <w:trHeight w:val="300" w:hRule="atLeast"/>
        </w:trPr>
        <w:tc>
          <w:tcPr>
            <w:tcW w:w="7807" w:type="dxa"/>
            <w:gridSpan w:val="5"/>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7030A0" w:val="clear"/>
            <w:tcMar>
              <w:left w:w="60" w:type="dxa"/>
            </w:tcMar>
            <w:vAlign w:val="bottom"/>
          </w:tcPr>
          <w:p>
            <w:pPr>
              <w:pStyle w:val="Normal"/>
              <w:jc w:val="center"/>
              <w:rPr>
                <w:rFonts w:ascii="Calibri" w:hAnsi="Calibri" w:cs="Calibri"/>
                <w:b/>
                <w:b/>
                <w:bCs/>
                <w:color w:val="E2C5FF"/>
                <w:sz w:val="20"/>
                <w:szCs w:val="20"/>
              </w:rPr>
            </w:pPr>
            <w:r>
              <w:rPr>
                <w:rFonts w:cs="Calibri" w:ascii="Calibri" w:hAnsi="Calibri"/>
                <w:b/>
                <w:bCs/>
                <w:color w:val="E2C5FF"/>
                <w:sz w:val="20"/>
                <w:szCs w:val="20"/>
              </w:rPr>
              <w:t>Grille augmentation mars 2022</w:t>
            </w:r>
          </w:p>
        </w:tc>
      </w:tr>
      <w:tr>
        <w:trPr>
          <w:trHeight w:val="300" w:hRule="atLeast"/>
        </w:trPr>
        <w:tc>
          <w:tcPr>
            <w:tcW w:w="3468" w:type="dxa"/>
            <w:tcBorders>
              <w:left w:val="single" w:sz="8" w:space="0" w:color="000000"/>
            </w:tcBorders>
            <w:shd w:fill="auto" w:val="clear"/>
            <w:tcMar>
              <w:left w:w="60" w:type="dxa"/>
            </w:tcMar>
            <w:vAlign w:val="bottom"/>
          </w:tcPr>
          <w:p>
            <w:pPr>
              <w:pStyle w:val="Normal"/>
              <w:rPr>
                <w:rFonts w:ascii="Calibri" w:hAnsi="Calibri" w:cs="Calibri"/>
                <w:color w:val="000000"/>
                <w:sz w:val="20"/>
                <w:szCs w:val="20"/>
              </w:rPr>
            </w:pPr>
            <w:r>
              <w:rPr>
                <w:rFonts w:cs="Calibri" w:ascii="Calibri" w:hAnsi="Calibri"/>
                <w:color w:val="000000"/>
                <w:sz w:val="20"/>
                <w:szCs w:val="20"/>
              </w:rPr>
              <w:t> </w:t>
            </w:r>
          </w:p>
        </w:tc>
        <w:tc>
          <w:tcPr>
            <w:tcW w:w="993" w:type="dxa"/>
            <w:tcBorders>
              <w:left w:val="single" w:sz="8" w:space="0" w:color="000000"/>
              <w:bottom w:val="single" w:sz="8" w:space="0" w:color="000000"/>
              <w:insideH w:val="single" w:sz="8" w:space="0" w:color="000000"/>
            </w:tcBorders>
            <w:shd w:fill="D9D9D9" w:val="clear"/>
            <w:tcMar>
              <w:left w:w="-10" w:type="dxa"/>
              <w:right w:w="0" w:type="dxa"/>
            </w:tcMar>
            <w:vAlign w:val="bottom"/>
          </w:tcPr>
          <w:p>
            <w:pPr>
              <w:pStyle w:val="Normal"/>
              <w:jc w:val="center"/>
              <w:rPr>
                <w:rFonts w:ascii="Calibri" w:hAnsi="Calibri" w:cs="Calibri"/>
                <w:b/>
                <w:b/>
                <w:bCs/>
                <w:color w:val="000000"/>
                <w:sz w:val="20"/>
                <w:szCs w:val="20"/>
              </w:rPr>
            </w:pPr>
            <w:r>
              <w:rPr>
                <w:rFonts w:cs="Calibri" w:ascii="Calibri" w:hAnsi="Calibri"/>
                <w:b/>
                <w:bCs/>
                <w:color w:val="000000"/>
                <w:sz w:val="20"/>
                <w:szCs w:val="20"/>
              </w:rPr>
              <w:t>UP/IR</w:t>
            </w:r>
          </w:p>
        </w:tc>
        <w:tc>
          <w:tcPr>
            <w:tcW w:w="1275" w:type="dxa"/>
            <w:tcBorders>
              <w:left w:val="single" w:sz="8" w:space="0" w:color="000000"/>
              <w:bottom w:val="single" w:sz="8" w:space="0" w:color="000000"/>
              <w:insideH w:val="single" w:sz="8" w:space="0" w:color="000000"/>
            </w:tcBorders>
            <w:shd w:fill="D9D9D9" w:val="clear"/>
            <w:tcMar>
              <w:left w:w="-10" w:type="dxa"/>
              <w:right w:w="0" w:type="dxa"/>
            </w:tcMar>
            <w:vAlign w:val="bottom"/>
          </w:tcPr>
          <w:p>
            <w:pPr>
              <w:pStyle w:val="Normal"/>
              <w:jc w:val="center"/>
              <w:rPr>
                <w:rFonts w:ascii="Calibri" w:hAnsi="Calibri" w:cs="Calibri"/>
                <w:b/>
                <w:b/>
                <w:bCs/>
                <w:color w:val="000000"/>
                <w:sz w:val="20"/>
                <w:szCs w:val="20"/>
              </w:rPr>
            </w:pPr>
            <w:r>
              <w:rPr>
                <w:rFonts w:cs="Calibri" w:ascii="Calibri" w:hAnsi="Calibri"/>
                <w:b/>
                <w:bCs/>
                <w:color w:val="000000"/>
                <w:sz w:val="20"/>
                <w:szCs w:val="20"/>
              </w:rPr>
              <w:t>GP</w:t>
            </w:r>
          </w:p>
        </w:tc>
        <w:tc>
          <w:tcPr>
            <w:tcW w:w="993" w:type="dxa"/>
            <w:tcBorders>
              <w:left w:val="single" w:sz="8" w:space="0" w:color="000000"/>
              <w:bottom w:val="single" w:sz="8" w:space="0" w:color="000000"/>
              <w:insideH w:val="single" w:sz="8" w:space="0" w:color="000000"/>
            </w:tcBorders>
            <w:shd w:fill="D9D9D9" w:val="clear"/>
            <w:tcMar>
              <w:left w:w="-10" w:type="dxa"/>
              <w:right w:w="0" w:type="dxa"/>
            </w:tcMar>
            <w:vAlign w:val="bottom"/>
          </w:tcPr>
          <w:p>
            <w:pPr>
              <w:pStyle w:val="Normal"/>
              <w:jc w:val="center"/>
              <w:rPr>
                <w:rFonts w:ascii="Calibri" w:hAnsi="Calibri" w:cs="Calibri"/>
                <w:b/>
                <w:b/>
                <w:bCs/>
                <w:color w:val="000000"/>
                <w:sz w:val="20"/>
                <w:szCs w:val="20"/>
              </w:rPr>
            </w:pPr>
            <w:r>
              <w:rPr>
                <w:rFonts w:cs="Calibri" w:ascii="Calibri" w:hAnsi="Calibri"/>
                <w:b/>
                <w:bCs/>
                <w:color w:val="000000"/>
                <w:sz w:val="20"/>
                <w:szCs w:val="20"/>
              </w:rPr>
              <w:t>SP</w:t>
            </w:r>
          </w:p>
        </w:tc>
        <w:tc>
          <w:tcPr>
            <w:tcW w:w="1078" w:type="dxa"/>
            <w:tcBorders>
              <w:left w:val="single" w:sz="8" w:space="0" w:color="000000"/>
              <w:bottom w:val="single" w:sz="8" w:space="0" w:color="000000"/>
              <w:right w:val="single" w:sz="8" w:space="0" w:color="000000"/>
              <w:insideH w:val="single" w:sz="8" w:space="0" w:color="000000"/>
              <w:insideV w:val="single" w:sz="8" w:space="0" w:color="000000"/>
            </w:tcBorders>
            <w:shd w:fill="D9D9D9" w:val="clear"/>
            <w:tcMar>
              <w:left w:w="-10" w:type="dxa"/>
              <w:right w:w="0" w:type="dxa"/>
            </w:tcMar>
            <w:vAlign w:val="bottom"/>
          </w:tcPr>
          <w:p>
            <w:pPr>
              <w:pStyle w:val="Normal"/>
              <w:jc w:val="center"/>
              <w:rPr>
                <w:rFonts w:ascii="Calibri" w:hAnsi="Calibri" w:cs="Calibri"/>
                <w:b/>
                <w:b/>
                <w:bCs/>
                <w:color w:val="000000"/>
                <w:sz w:val="20"/>
                <w:szCs w:val="20"/>
              </w:rPr>
            </w:pPr>
            <w:r>
              <w:rPr>
                <w:rFonts w:cs="Calibri" w:ascii="Calibri" w:hAnsi="Calibri"/>
                <w:b/>
                <w:bCs/>
                <w:color w:val="000000"/>
                <w:sz w:val="20"/>
                <w:szCs w:val="20"/>
              </w:rPr>
              <w:t>EP</w:t>
            </w:r>
          </w:p>
        </w:tc>
      </w:tr>
      <w:tr>
        <w:trPr>
          <w:trHeight w:val="288" w:hRule="atLeast"/>
        </w:trPr>
        <w:tc>
          <w:tcPr>
            <w:tcW w:w="3468" w:type="dxa"/>
            <w:tcBorders>
              <w:top w:val="single" w:sz="8" w:space="0" w:color="000000"/>
              <w:left w:val="single" w:sz="8" w:space="0" w:color="000000"/>
              <w:bottom w:val="single" w:sz="8" w:space="0" w:color="000000"/>
              <w:insideH w:val="single" w:sz="8" w:space="0" w:color="000000"/>
            </w:tcBorders>
            <w:shd w:fill="D9D9D9" w:val="clear"/>
            <w:tcMar>
              <w:left w:w="60" w:type="dxa"/>
            </w:tcMar>
            <w:vAlign w:val="bottom"/>
          </w:tcPr>
          <w:p>
            <w:pPr>
              <w:pStyle w:val="Normal"/>
              <w:rPr>
                <w:rFonts w:ascii="Calibri" w:hAnsi="Calibri" w:cs="Calibri"/>
                <w:b/>
                <w:b/>
                <w:bCs/>
                <w:sz w:val="20"/>
                <w:szCs w:val="20"/>
              </w:rPr>
            </w:pPr>
            <w:r>
              <w:rPr>
                <w:rFonts w:cs="Calibri" w:ascii="Calibri" w:hAnsi="Calibri"/>
                <w:b/>
                <w:bCs/>
                <w:color w:val="000000"/>
                <w:sz w:val="20"/>
                <w:szCs w:val="20"/>
              </w:rPr>
              <w:t>Officer</w:t>
            </w:r>
          </w:p>
        </w:tc>
        <w:tc>
          <w:tcPr>
            <w:tcW w:w="993" w:type="dxa"/>
            <w:tcBorders>
              <w:left w:val="single" w:sz="8" w:space="0" w:color="000000"/>
              <w:bottom w:val="single" w:sz="8" w:space="0" w:color="000000"/>
              <w:insideH w:val="single" w:sz="8" w:space="0" w:color="000000"/>
            </w:tcBorders>
            <w:shd w:fill="auto" w:val="clear"/>
            <w:tcMar>
              <w:left w:w="-10" w:type="dxa"/>
              <w:right w:w="0" w:type="dxa"/>
            </w:tcMar>
            <w:vAlign w:val="bottom"/>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1275" w:type="dxa"/>
            <w:vMerge w:val="restart"/>
            <w:tcBorders>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De 0,5 à 3%</w:t>
            </w:r>
          </w:p>
        </w:tc>
        <w:tc>
          <w:tcPr>
            <w:tcW w:w="2071" w:type="dxa"/>
            <w:gridSpan w:val="2"/>
            <w:vMerge w:val="restart"/>
            <w:tcBorders>
              <w:left w:val="single" w:sz="8" w:space="0" w:color="000000"/>
              <w:bottom w:val="single" w:sz="8" w:space="0" w:color="000000"/>
              <w:right w:val="single" w:sz="8" w:space="0" w:color="000000"/>
              <w:insideH w:val="single" w:sz="8" w:space="0" w:color="000000"/>
              <w:insideV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De 3 à 5%</w:t>
            </w:r>
          </w:p>
        </w:tc>
      </w:tr>
      <w:tr>
        <w:trPr>
          <w:trHeight w:val="288" w:hRule="atLeast"/>
        </w:trPr>
        <w:tc>
          <w:tcPr>
            <w:tcW w:w="3468" w:type="dxa"/>
            <w:tcBorders>
              <w:left w:val="single" w:sz="8" w:space="0" w:color="000000"/>
              <w:bottom w:val="single" w:sz="8" w:space="0" w:color="000000"/>
              <w:insideH w:val="single" w:sz="8" w:space="0" w:color="000000"/>
            </w:tcBorders>
            <w:shd w:fill="D9D9D9" w:val="clear"/>
            <w:tcMar>
              <w:left w:w="60" w:type="dxa"/>
            </w:tcMar>
            <w:vAlign w:val="bottom"/>
          </w:tcPr>
          <w:p>
            <w:pPr>
              <w:pStyle w:val="Normal"/>
              <w:rPr>
                <w:rFonts w:ascii="Calibri" w:hAnsi="Calibri" w:cs="Calibri"/>
                <w:b/>
                <w:b/>
                <w:bCs/>
                <w:sz w:val="20"/>
                <w:szCs w:val="20"/>
              </w:rPr>
            </w:pPr>
            <w:r>
              <w:rPr>
                <w:rFonts w:cs="Calibri" w:ascii="Calibri" w:hAnsi="Calibri"/>
                <w:b/>
                <w:bCs/>
                <w:color w:val="000000"/>
                <w:sz w:val="20"/>
                <w:szCs w:val="20"/>
              </w:rPr>
              <w:t>Advisor / Advisor Resp</w:t>
            </w:r>
          </w:p>
        </w:tc>
        <w:tc>
          <w:tcPr>
            <w:tcW w:w="993" w:type="dxa"/>
            <w:tcBorders>
              <w:left w:val="single" w:sz="8" w:space="0" w:color="000000"/>
              <w:bottom w:val="single" w:sz="8" w:space="0" w:color="000000"/>
              <w:insideH w:val="single" w:sz="8" w:space="0" w:color="000000"/>
            </w:tcBorders>
            <w:shd w:fill="auto" w:val="clear"/>
            <w:tcMar>
              <w:left w:w="-10" w:type="dxa"/>
              <w:right w:w="0" w:type="dxa"/>
            </w:tcMar>
            <w:vAlign w:val="bottom"/>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1275" w:type="dxa"/>
            <w:vMerge w:val="continue"/>
            <w:tcBorders>
              <w:left w:val="single" w:sz="8" w:space="0" w:color="000000"/>
              <w:bottom w:val="single" w:sz="8" w:space="0" w:color="000000"/>
              <w:insideH w:val="single" w:sz="8" w:space="0" w:color="000000"/>
            </w:tcBorders>
            <w:shd w:fill="auto" w:val="clear"/>
            <w:tcMar>
              <w:left w:w="-10" w:type="dxa"/>
              <w:right w:w="0" w:type="dxa"/>
            </w:tcMar>
            <w:vAlign w:val="center"/>
          </w:tcPr>
          <w:p>
            <w:pPr>
              <w:pStyle w:val="Normal"/>
              <w:snapToGrid w:val="false"/>
              <w:rPr>
                <w:rFonts w:ascii="Calibri" w:hAnsi="Calibri" w:eastAsia="Calibri" w:cs="Calibri"/>
                <w:color w:val="000000"/>
                <w:sz w:val="20"/>
                <w:szCs w:val="20"/>
              </w:rPr>
            </w:pPr>
            <w:r>
              <w:rPr>
                <w:rFonts w:eastAsia="Calibri" w:cs="Calibri" w:ascii="Calibri" w:hAnsi="Calibri"/>
                <w:color w:val="000000"/>
                <w:sz w:val="20"/>
                <w:szCs w:val="20"/>
              </w:rPr>
            </w:r>
          </w:p>
        </w:tc>
        <w:tc>
          <w:tcPr>
            <w:tcW w:w="2071" w:type="dxa"/>
            <w:gridSpan w:val="2"/>
            <w:vMerge w:val="continue"/>
            <w:tcBorders>
              <w:left w:val="single" w:sz="8" w:space="0" w:color="000000"/>
              <w:bottom w:val="single" w:sz="8" w:space="0" w:color="000000"/>
              <w:right w:val="single" w:sz="8" w:space="0" w:color="000000"/>
              <w:insideH w:val="single" w:sz="8" w:space="0" w:color="000000"/>
              <w:insideV w:val="single" w:sz="8" w:space="0" w:color="000000"/>
            </w:tcBorders>
            <w:shd w:fill="auto" w:val="clear"/>
            <w:tcMar>
              <w:left w:w="-10" w:type="dxa"/>
              <w:right w:w="0" w:type="dxa"/>
            </w:tcMar>
            <w:vAlign w:val="center"/>
          </w:tcPr>
          <w:p>
            <w:pPr>
              <w:pStyle w:val="Normal"/>
              <w:snapToGrid w:val="false"/>
              <w:rPr>
                <w:rFonts w:ascii="Calibri" w:hAnsi="Calibri" w:eastAsia="Calibri" w:cs="Calibri"/>
                <w:color w:val="000000"/>
                <w:sz w:val="20"/>
                <w:szCs w:val="20"/>
              </w:rPr>
            </w:pPr>
            <w:r>
              <w:rPr>
                <w:rFonts w:eastAsia="Calibri" w:cs="Calibri" w:ascii="Calibri" w:hAnsi="Calibri"/>
                <w:color w:val="000000"/>
                <w:sz w:val="20"/>
                <w:szCs w:val="20"/>
              </w:rPr>
            </w:r>
          </w:p>
        </w:tc>
      </w:tr>
      <w:tr>
        <w:trPr>
          <w:trHeight w:val="288" w:hRule="atLeast"/>
        </w:trPr>
        <w:tc>
          <w:tcPr>
            <w:tcW w:w="3468" w:type="dxa"/>
            <w:tcBorders>
              <w:left w:val="single" w:sz="8" w:space="0" w:color="000000"/>
              <w:bottom w:val="single" w:sz="8" w:space="0" w:color="000000"/>
              <w:insideH w:val="single" w:sz="8" w:space="0" w:color="000000"/>
            </w:tcBorders>
            <w:shd w:fill="D9D9D9" w:val="clear"/>
            <w:tcMar>
              <w:left w:w="60" w:type="dxa"/>
            </w:tcMar>
            <w:vAlign w:val="bottom"/>
          </w:tcPr>
          <w:p>
            <w:pPr>
              <w:pStyle w:val="Normal"/>
              <w:rPr>
                <w:rFonts w:ascii="Calibri" w:hAnsi="Calibri" w:cs="Calibri"/>
                <w:b/>
                <w:b/>
                <w:bCs/>
                <w:sz w:val="20"/>
                <w:szCs w:val="20"/>
              </w:rPr>
            </w:pPr>
            <w:r>
              <w:rPr>
                <w:rFonts w:cs="Calibri" w:ascii="Calibri" w:hAnsi="Calibri"/>
                <w:b/>
                <w:bCs/>
                <w:color w:val="000000"/>
                <w:sz w:val="20"/>
                <w:szCs w:val="20"/>
              </w:rPr>
              <w:t>Head of/Expertise Head</w:t>
            </w:r>
          </w:p>
        </w:tc>
        <w:tc>
          <w:tcPr>
            <w:tcW w:w="993" w:type="dxa"/>
            <w:tcBorders>
              <w:left w:val="single" w:sz="8" w:space="0" w:color="000000"/>
              <w:bottom w:val="single" w:sz="8" w:space="0" w:color="000000"/>
              <w:insideH w:val="single" w:sz="8" w:space="0" w:color="000000"/>
            </w:tcBorders>
            <w:shd w:fill="auto" w:val="clear"/>
            <w:tcMar>
              <w:left w:w="-10" w:type="dxa"/>
              <w:right w:w="0" w:type="dxa"/>
            </w:tcMar>
            <w:vAlign w:val="bottom"/>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3346" w:type="dxa"/>
            <w:gridSpan w:val="3"/>
            <w:vMerge w:val="restart"/>
            <w:tcBorders>
              <w:left w:val="single" w:sz="8" w:space="0" w:color="000000"/>
              <w:bottom w:val="single" w:sz="8" w:space="0" w:color="000000"/>
              <w:right w:val="single" w:sz="8" w:space="0" w:color="000000"/>
              <w:insideH w:val="single" w:sz="8" w:space="0" w:color="000000"/>
              <w:insideV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discrétionnaire</w:t>
            </w:r>
          </w:p>
        </w:tc>
      </w:tr>
      <w:tr>
        <w:trPr>
          <w:trHeight w:val="300" w:hRule="atLeast"/>
        </w:trPr>
        <w:tc>
          <w:tcPr>
            <w:tcW w:w="3468" w:type="dxa"/>
            <w:tcBorders>
              <w:left w:val="single" w:sz="8" w:space="0" w:color="000000"/>
              <w:bottom w:val="single" w:sz="8" w:space="0" w:color="000000"/>
              <w:insideH w:val="single" w:sz="8" w:space="0" w:color="000000"/>
            </w:tcBorders>
            <w:shd w:fill="D9D9D9" w:val="clear"/>
            <w:tcMar>
              <w:left w:w="60" w:type="dxa"/>
            </w:tcMar>
            <w:vAlign w:val="bottom"/>
          </w:tcPr>
          <w:p>
            <w:pPr>
              <w:pStyle w:val="Normal"/>
              <w:rPr>
                <w:rFonts w:ascii="Calibri" w:hAnsi="Calibri" w:cs="Calibri"/>
                <w:b/>
                <w:b/>
                <w:bCs/>
                <w:sz w:val="20"/>
                <w:szCs w:val="20"/>
              </w:rPr>
            </w:pPr>
            <w:r>
              <w:rPr>
                <w:rFonts w:cs="Calibri" w:ascii="Calibri" w:hAnsi="Calibri"/>
                <w:b/>
                <w:bCs/>
                <w:color w:val="000000"/>
                <w:sz w:val="20"/>
                <w:szCs w:val="20"/>
              </w:rPr>
              <w:t>Department Director/Expertise Director</w:t>
            </w:r>
          </w:p>
        </w:tc>
        <w:tc>
          <w:tcPr>
            <w:tcW w:w="993" w:type="dxa"/>
            <w:tcBorders>
              <w:left w:val="single" w:sz="8" w:space="0" w:color="000000"/>
              <w:bottom w:val="single" w:sz="8" w:space="0" w:color="000000"/>
              <w:insideH w:val="single" w:sz="8" w:space="0" w:color="000000"/>
            </w:tcBorders>
            <w:shd w:fill="auto" w:val="clear"/>
            <w:tcMar>
              <w:left w:w="-10" w:type="dxa"/>
              <w:right w:w="0" w:type="dxa"/>
            </w:tcMar>
            <w:vAlign w:val="bottom"/>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3346" w:type="dxa"/>
            <w:gridSpan w:val="3"/>
            <w:vMerge w:val="continue"/>
            <w:tcBorders>
              <w:left w:val="single" w:sz="8" w:space="0" w:color="000000"/>
              <w:bottom w:val="single" w:sz="8" w:space="0" w:color="000000"/>
              <w:right w:val="single" w:sz="8" w:space="0" w:color="000000"/>
              <w:insideH w:val="single" w:sz="8" w:space="0" w:color="000000"/>
              <w:insideV w:val="single" w:sz="8" w:space="0" w:color="000000"/>
            </w:tcBorders>
            <w:shd w:fill="auto" w:val="clear"/>
            <w:tcMar>
              <w:left w:w="-10" w:type="dxa"/>
              <w:right w:w="0" w:type="dxa"/>
            </w:tcMar>
            <w:vAlign w:val="center"/>
          </w:tcPr>
          <w:p>
            <w:pPr>
              <w:pStyle w:val="Normal"/>
              <w:snapToGrid w:val="false"/>
              <w:rPr>
                <w:rFonts w:ascii="Calibri" w:hAnsi="Calibri" w:eastAsia="Calibri" w:cs="Calibri"/>
                <w:color w:val="000000"/>
                <w:sz w:val="20"/>
                <w:szCs w:val="20"/>
              </w:rPr>
            </w:pPr>
            <w:r>
              <w:rPr>
                <w:rFonts w:eastAsia="Calibri" w:cs="Calibri" w:ascii="Calibri" w:hAnsi="Calibri"/>
                <w:color w:val="000000"/>
                <w:sz w:val="20"/>
                <w:szCs w:val="20"/>
              </w:rPr>
            </w:r>
          </w:p>
        </w:tc>
      </w:tr>
    </w:tbl>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Les minima de rémunération à respecter varient en fonction des 4 niveaux, à savoir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Niveau 1 </w:t>
      </w:r>
    </w:p>
    <w:p>
      <w:pPr>
        <w:pStyle w:val="Normal"/>
        <w:numPr>
          <w:ilvl w:val="1"/>
          <w:numId w:val="7"/>
        </w:numPr>
        <w:ind w:left="1014" w:right="-238" w:hanging="360"/>
        <w:jc w:val="both"/>
        <w:rPr/>
      </w:pPr>
      <w:r>
        <w:rPr>
          <w:rFonts w:cs="Calibri" w:ascii="Calibri" w:hAnsi="Calibri"/>
          <w:color w:val="000000"/>
          <w:sz w:val="20"/>
          <w:szCs w:val="20"/>
        </w:rPr>
        <w:t>Employé : 23k€</w:t>
      </w:r>
    </w:p>
    <w:p>
      <w:pPr>
        <w:pStyle w:val="Normal"/>
        <w:numPr>
          <w:ilvl w:val="1"/>
          <w:numId w:val="7"/>
        </w:numPr>
        <w:ind w:left="1014" w:right="-238" w:hanging="360"/>
        <w:jc w:val="both"/>
        <w:rPr>
          <w:rFonts w:ascii="Calibri" w:hAnsi="Calibri" w:cs="Calibri"/>
          <w:color w:val="000000"/>
          <w:sz w:val="20"/>
          <w:szCs w:val="20"/>
        </w:rPr>
      </w:pPr>
      <w:r>
        <w:rPr>
          <w:rFonts w:cs="Calibri" w:ascii="Calibri" w:hAnsi="Calibri"/>
          <w:color w:val="000000"/>
          <w:sz w:val="20"/>
          <w:szCs w:val="20"/>
        </w:rPr>
        <w:t>Cadre : 32,5k€</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Niveau 2</w:t>
      </w:r>
    </w:p>
    <w:p>
      <w:pPr>
        <w:pStyle w:val="Paragraphedeliste"/>
        <w:numPr>
          <w:ilvl w:val="1"/>
          <w:numId w:val="7"/>
        </w:numPr>
        <w:tabs>
          <w:tab w:val="left" w:pos="-142" w:leader="none"/>
        </w:tabs>
        <w:ind w:left="1014" w:right="-238" w:hanging="360"/>
        <w:jc w:val="both"/>
        <w:rPr>
          <w:rFonts w:cs="Calibri"/>
          <w:color w:val="000000"/>
          <w:sz w:val="20"/>
          <w:szCs w:val="20"/>
        </w:rPr>
      </w:pPr>
      <w:r>
        <w:rPr>
          <w:rFonts w:cs="Calibri"/>
          <w:color w:val="000000"/>
          <w:sz w:val="20"/>
          <w:szCs w:val="20"/>
        </w:rPr>
        <w:t>Employé : 30k€</w:t>
      </w:r>
    </w:p>
    <w:p>
      <w:pPr>
        <w:pStyle w:val="Paragraphedeliste"/>
        <w:numPr>
          <w:ilvl w:val="1"/>
          <w:numId w:val="7"/>
        </w:numPr>
        <w:tabs>
          <w:tab w:val="left" w:pos="-142" w:leader="none"/>
        </w:tabs>
        <w:ind w:left="1014" w:right="-238" w:hanging="360"/>
        <w:jc w:val="both"/>
        <w:rPr/>
      </w:pPr>
      <w:r>
        <w:rPr>
          <w:rFonts w:cs="Calibri"/>
          <w:color w:val="000000"/>
          <w:sz w:val="20"/>
          <w:szCs w:val="20"/>
        </w:rPr>
        <w:t>Cadre (non responsable) : 40k€</w:t>
      </w:r>
    </w:p>
    <w:p>
      <w:pPr>
        <w:pStyle w:val="Paragraphedeliste"/>
        <w:numPr>
          <w:ilvl w:val="1"/>
          <w:numId w:val="7"/>
        </w:numPr>
        <w:tabs>
          <w:tab w:val="left" w:pos="-142" w:leader="none"/>
        </w:tabs>
        <w:ind w:left="1014" w:right="-238" w:hanging="360"/>
        <w:jc w:val="both"/>
        <w:rPr>
          <w:rFonts w:cs="Calibri"/>
          <w:color w:val="000000"/>
          <w:sz w:val="20"/>
          <w:szCs w:val="20"/>
        </w:rPr>
      </w:pPr>
      <w:r>
        <w:rPr>
          <w:rFonts w:cs="Calibri"/>
          <w:color w:val="000000"/>
          <w:sz w:val="20"/>
          <w:szCs w:val="20"/>
        </w:rPr>
        <w:t>Cadre (responsable) : 50k€</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Niveau 3 : 55k€</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Niveau 4 : 100k€</w:t>
      </w:r>
    </w:p>
    <w:p>
      <w:pPr>
        <w:pStyle w:val="Paragraphedeliste"/>
        <w:tabs>
          <w:tab w:val="left" w:pos="284" w:leader="none"/>
        </w:tabs>
        <w:ind w:left="-426" w:right="-238" w:hanging="0"/>
        <w:jc w:val="both"/>
        <w:rPr>
          <w:rFonts w:ascii="Calibri" w:hAnsi="Calibri" w:cs="Calibri"/>
          <w:color w:val="000000"/>
          <w:sz w:val="20"/>
          <w:szCs w:val="20"/>
          <w:highlight w:val="yellow"/>
        </w:rPr>
      </w:pPr>
      <w:r>
        <w:rPr>
          <w:rFonts w:cs="Calibri"/>
          <w:color w:val="000000"/>
          <w:sz w:val="20"/>
          <w:szCs w:val="20"/>
          <w:highlight w:val="yellow"/>
        </w:rPr>
      </w:r>
    </w:p>
    <w:p>
      <w:pPr>
        <w:pStyle w:val="Heading2"/>
        <w:keepLines/>
        <w:numPr>
          <w:ilvl w:val="2"/>
          <w:numId w:val="3"/>
        </w:numPr>
        <w:ind w:left="284" w:right="-238" w:hanging="710"/>
        <w:jc w:val="left"/>
        <w:rPr/>
      </w:pPr>
      <w:r>
        <w:rPr>
          <w:rFonts w:cs="Calibri" w:ascii="Calibri" w:hAnsi="Calibri"/>
          <w:color w:val="00B0F0"/>
          <w:sz w:val="20"/>
          <w:szCs w:val="20"/>
        </w:rPr>
        <w:t>Salariés de la société Hypercube</w:t>
      </w:r>
    </w:p>
    <w:p>
      <w:pPr>
        <w:pStyle w:val="Normal"/>
        <w:ind w:left="-426" w:right="-238" w:hanging="0"/>
        <w:jc w:val="both"/>
        <w:rPr>
          <w:rFonts w:ascii="Calibri" w:hAnsi="Calibri" w:cs="Calibri"/>
          <w:color w:val="00B0F0"/>
          <w:sz w:val="20"/>
          <w:szCs w:val="20"/>
        </w:rPr>
      </w:pPr>
      <w:r>
        <w:rPr>
          <w:rFonts w:cs="Calibri" w:ascii="Calibri" w:hAnsi="Calibri"/>
          <w:color w:val="00B0F0"/>
          <w:sz w:val="20"/>
          <w:szCs w:val="20"/>
        </w:rPr>
      </w:r>
    </w:p>
    <w:p>
      <w:pPr>
        <w:pStyle w:val="Paragraphedeliste"/>
        <w:tabs>
          <w:tab w:val="left" w:pos="0" w:leader="none"/>
        </w:tabs>
        <w:ind w:left="-426" w:right="-238" w:hanging="0"/>
        <w:jc w:val="both"/>
        <w:rPr/>
      </w:pPr>
      <w:bookmarkStart w:id="22" w:name="_Hlk505867684"/>
      <w:bookmarkEnd w:id="22"/>
      <w:r>
        <w:rPr>
          <w:rFonts w:cs="Calibri"/>
          <w:color w:val="000000"/>
          <w:sz w:val="20"/>
          <w:szCs w:val="20"/>
        </w:rPr>
        <w:t>L’enveloppe d’augmentation pour 2022 représentera 40k€ y compris les charges patronales.</w:t>
      </w:r>
    </w:p>
    <w:p>
      <w:pPr>
        <w:pStyle w:val="Paragraphedeliste"/>
        <w:tabs>
          <w:tab w:val="left" w:pos="0" w:leader="none"/>
        </w:tabs>
        <w:ind w:left="-426" w:right="-238" w:hanging="0"/>
        <w:jc w:val="both"/>
        <w:rPr>
          <w:rFonts w:cs="Calibri"/>
          <w:color w:val="000000"/>
          <w:sz w:val="21"/>
          <w:szCs w:val="21"/>
        </w:rPr>
      </w:pPr>
      <w:bookmarkStart w:id="23" w:name="_Hlk505867684"/>
      <w:bookmarkStart w:id="24" w:name="_Hlk505867684"/>
      <w:bookmarkEnd w:id="24"/>
      <w:r>
        <w:rPr>
          <w:rFonts w:cs="Calibri"/>
          <w:color w:val="000000"/>
          <w:sz w:val="21"/>
          <w:szCs w:val="21"/>
        </w:rPr>
      </w:r>
    </w:p>
    <w:p>
      <w:pPr>
        <w:pStyle w:val="Paragraphedeliste"/>
        <w:tabs>
          <w:tab w:val="left" w:pos="0" w:leader="none"/>
        </w:tabs>
        <w:ind w:left="-426" w:right="-238" w:hanging="0"/>
        <w:jc w:val="both"/>
        <w:rPr>
          <w:rFonts w:cs="Calibri"/>
          <w:color w:val="000000"/>
          <w:sz w:val="20"/>
          <w:szCs w:val="20"/>
        </w:rPr>
      </w:pPr>
      <w:bookmarkStart w:id="25" w:name="_Hlk31640868"/>
      <w:bookmarkEnd w:id="25"/>
      <w:r>
        <w:rPr>
          <w:rFonts w:cs="Calibri"/>
          <w:color w:val="000000"/>
          <w:sz w:val="20"/>
          <w:szCs w:val="20"/>
        </w:rPr>
        <w:t>La Direction décidera des augmentations à accorder aux collaborateurs qu’ils soient ou non promus.</w:t>
      </w:r>
    </w:p>
    <w:p>
      <w:pPr>
        <w:pStyle w:val="Paragraphedeliste"/>
        <w:ind w:left="720" w:right="-238" w:hanging="0"/>
        <w:jc w:val="both"/>
        <w:rPr>
          <w:rFonts w:cs="Calibri"/>
          <w:color w:val="000000"/>
          <w:sz w:val="20"/>
          <w:szCs w:val="20"/>
        </w:rPr>
      </w:pPr>
      <w:r>
        <w:rPr>
          <w:rFonts w:cs="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Les principes et spécificités sont les suivants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les analysts promus au grade de consultant et les consultants promus au grade de senior consultant seront tous positionnés à la grille de promotion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analysts non promus sont tous positionnés à la nouvelle grille de salaire des analysts expérimentés</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analysts non promus ont tous pu bénéficier d’une revalorisation de salaires en septembre 2021</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consultants/senior consultants non promus sont tous positionnés à la nouvelle grille de salaire des C/SC expérimentés</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Les managers et plus sont soumis aux mêmes règles que la population Consultant, à savoir, des rémunérations seuils pour les promotions et un salaire cible pour les Managers ou Senior Managers positionnés au statut « Advanced » en mars 2022.</w:t>
      </w:r>
    </w:p>
    <w:p>
      <w:pPr>
        <w:pStyle w:val="Paragraphedeliste"/>
        <w:tabs>
          <w:tab w:val="left" w:pos="284" w:leader="none"/>
        </w:tabs>
        <w:ind w:left="-426" w:right="-238" w:hanging="0"/>
        <w:jc w:val="both"/>
        <w:rPr>
          <w:rFonts w:ascii="Calibri" w:hAnsi="Calibri" w:eastAsia="Calibri" w:cs="Calibri"/>
          <w:color w:val="000000"/>
          <w:sz w:val="20"/>
          <w:szCs w:val="20"/>
        </w:rPr>
      </w:pPr>
      <w:r>
        <w:rPr>
          <w:rFonts w:eastAsia="Calibri"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Des exceptions à ces règles, validées par le comex, pourront éventuellement être appliquées et expliquées aux collaborateurs concernés.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Heading2"/>
        <w:keepLines/>
        <w:numPr>
          <w:ilvl w:val="2"/>
          <w:numId w:val="3"/>
        </w:numPr>
        <w:ind w:left="284" w:right="-238" w:hanging="710"/>
        <w:jc w:val="left"/>
        <w:rPr>
          <w:rFonts w:ascii="Calibri" w:hAnsi="Calibri" w:cs="Calibri"/>
          <w:color w:val="00B0F0"/>
          <w:sz w:val="20"/>
          <w:szCs w:val="20"/>
        </w:rPr>
      </w:pPr>
      <w:r>
        <w:rPr>
          <w:rFonts w:cs="Calibri" w:ascii="Calibri" w:hAnsi="Calibri"/>
          <w:color w:val="00B0F0"/>
          <w:sz w:val="20"/>
          <w:szCs w:val="20"/>
        </w:rPr>
        <w:t>Salariés de la société Arcwide France</w:t>
      </w:r>
    </w:p>
    <w:p>
      <w:pPr>
        <w:pStyle w:val="Paragraphedeliste"/>
        <w:tabs>
          <w:tab w:val="left" w:pos="284" w:leader="none"/>
        </w:tabs>
        <w:ind w:left="-426" w:right="-238" w:hanging="0"/>
        <w:jc w:val="both"/>
        <w:rPr>
          <w:rFonts w:ascii="Calibri" w:hAnsi="Calibri"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pPr>
      <w:r>
        <w:rPr>
          <w:rFonts w:cs="Calibri"/>
          <w:color w:val="000000"/>
          <w:sz w:val="20"/>
          <w:szCs w:val="20"/>
        </w:rPr>
        <w:t>Dans la mesure où les transferts de salariés de BearingPoint France chez Arcwide France interviendront au 1</w:t>
      </w:r>
      <w:r>
        <w:rPr>
          <w:rFonts w:cs="Calibri"/>
          <w:color w:val="000000"/>
          <w:sz w:val="20"/>
          <w:szCs w:val="20"/>
          <w:vertAlign w:val="superscript"/>
        </w:rPr>
        <w:t>er</w:t>
      </w:r>
      <w:r>
        <w:rPr>
          <w:rFonts w:cs="Calibri"/>
          <w:color w:val="000000"/>
          <w:sz w:val="20"/>
          <w:szCs w:val="20"/>
        </w:rPr>
        <w:t xml:space="preserve"> avril 2022, les salariés concernés bénéficieront des dispositions précitées concernant les augmentations au sein de BearingPoint France selon les modalités décrites plus haut.</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 xml:space="preserve"> </w:t>
      </w:r>
    </w:p>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t>REMUNERATION VARIABLE AU TITRE DE L’ANNEE 2021 PAYABLE EN 2022</w:t>
      </w:r>
    </w:p>
    <w:p>
      <w:pPr>
        <w:pStyle w:val="Normal"/>
        <w:ind w:right="-238" w:hanging="0"/>
        <w:jc w:val="both"/>
        <w:rPr>
          <w:rFonts w:ascii="Calibri" w:hAnsi="Calibri" w:cs="Calibri"/>
          <w:b/>
          <w:b/>
          <w:bCs/>
          <w:color w:val="000000"/>
          <w:sz w:val="20"/>
          <w:szCs w:val="20"/>
          <w:u w:val="single"/>
        </w:rPr>
      </w:pPr>
      <w:r>
        <w:rPr>
          <w:rFonts w:cs="Calibri" w:ascii="Calibri" w:hAnsi="Calibri"/>
          <w:b/>
          <w:bCs/>
          <w:color w:val="000000"/>
          <w:sz w:val="20"/>
          <w:szCs w:val="20"/>
          <w:u w:val="single"/>
        </w:rPr>
      </w:r>
    </w:p>
    <w:p>
      <w:pPr>
        <w:pStyle w:val="Heading2"/>
        <w:keepLines/>
        <w:numPr>
          <w:ilvl w:val="2"/>
          <w:numId w:val="9"/>
        </w:numPr>
        <w:ind w:left="851" w:right="-238" w:hanging="1277"/>
        <w:jc w:val="left"/>
        <w:rPr>
          <w:rFonts w:ascii="Calibri" w:hAnsi="Calibri" w:cs="Calibri"/>
          <w:color w:val="00B0F0"/>
          <w:sz w:val="20"/>
          <w:szCs w:val="20"/>
        </w:rPr>
      </w:pPr>
      <w:r>
        <w:rPr>
          <w:rFonts w:cs="Calibri" w:ascii="Calibri" w:hAnsi="Calibri"/>
          <w:color w:val="00B0F0"/>
          <w:sz w:val="20"/>
          <w:szCs w:val="20"/>
        </w:rPr>
        <w:t>Population Consultant</w:t>
      </w:r>
    </w:p>
    <w:p>
      <w:pPr>
        <w:pStyle w:val="Paragraphedeliste"/>
        <w:tabs>
          <w:tab w:val="left" w:pos="284" w:leader="none"/>
        </w:tabs>
        <w:ind w:left="-426" w:right="-238" w:hanging="0"/>
        <w:jc w:val="both"/>
        <w:rPr>
          <w:rFonts w:ascii="Calibri" w:hAnsi="Calibri" w:eastAsia="Times New Roman" w:cs="Calibri"/>
          <w:color w:val="000000"/>
          <w:sz w:val="20"/>
          <w:szCs w:val="20"/>
          <w:lang w:eastAsia="en-US"/>
        </w:rPr>
      </w:pPr>
      <w:r>
        <w:rPr>
          <w:rFonts w:eastAsia="Times New Roman" w:cs="Calibri"/>
          <w:color w:val="000000"/>
          <w:sz w:val="20"/>
          <w:szCs w:val="20"/>
          <w:lang w:eastAsia="en-US"/>
        </w:rPr>
      </w:r>
    </w:p>
    <w:p>
      <w:pPr>
        <w:pStyle w:val="Paragraphedeliste"/>
        <w:tabs>
          <w:tab w:val="left" w:pos="284" w:leader="none"/>
        </w:tabs>
        <w:ind w:left="-426" w:right="-238" w:hanging="0"/>
        <w:jc w:val="both"/>
        <w:rPr>
          <w:rFonts w:cs="Calibri"/>
          <w:color w:val="000000"/>
          <w:sz w:val="20"/>
          <w:szCs w:val="20"/>
        </w:rPr>
      </w:pPr>
      <w:bookmarkStart w:id="26" w:name="_Hlk31641084"/>
      <w:bookmarkStart w:id="27" w:name="_Hlk508111788"/>
      <w:bookmarkStart w:id="28" w:name="_Hlk505868072"/>
      <w:bookmarkEnd w:id="26"/>
      <w:bookmarkEnd w:id="27"/>
      <w:bookmarkEnd w:id="28"/>
      <w:r>
        <w:rPr>
          <w:rFonts w:cs="Calibri"/>
          <w:color w:val="000000"/>
          <w:sz w:val="20"/>
          <w:szCs w:val="20"/>
        </w:rPr>
        <w:t>L’EBIT de l’UES (BearingPoint France + Hypercube) atteint en 2021 permet de dégager une enveloppe consacrée à la rémunération variable de 3,385M€ (cotisations patronales comprises).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A ce montant s’ajoute une enveloppe de variable complémentaire de 2M€ cotisations patronales comprises.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bookmarkStart w:id="29" w:name="_Hlk31641084"/>
      <w:bookmarkStart w:id="30" w:name="_Hlk31641235"/>
      <w:bookmarkEnd w:id="29"/>
      <w:bookmarkEnd w:id="30"/>
      <w:r>
        <w:rPr>
          <w:rFonts w:cs="Calibri"/>
          <w:color w:val="000000"/>
          <w:sz w:val="20"/>
          <w:szCs w:val="20"/>
        </w:rPr>
        <w:t>Cette enveloppe de variable d’un montant total de 5,385M€ sera répartie auprès d’une population de l’UES de 609 personnes, toutes populations et tous grades confondus, hormis :</w:t>
      </w:r>
    </w:p>
    <w:p>
      <w:pPr>
        <w:pStyle w:val="Normal"/>
        <w:numPr>
          <w:ilvl w:val="0"/>
          <w:numId w:val="5"/>
        </w:numPr>
        <w:ind w:left="66" w:right="-238" w:hanging="360"/>
        <w:jc w:val="both"/>
        <w:rPr/>
      </w:pPr>
      <w:r>
        <w:rPr>
          <w:rFonts w:cs="Calibri" w:ascii="Calibri" w:hAnsi="Calibri"/>
          <w:color w:val="000000"/>
          <w:sz w:val="20"/>
          <w:szCs w:val="20"/>
        </w:rPr>
        <w:t>les Partners, stagiaires et apprentis</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les salariés dont le départ de l’entreprise est notifié avant le 31 mars 2022</w:t>
      </w:r>
    </w:p>
    <w:p>
      <w:pPr>
        <w:pStyle w:val="Normal"/>
        <w:numPr>
          <w:ilvl w:val="0"/>
          <w:numId w:val="5"/>
        </w:numPr>
        <w:ind w:left="66" w:right="-238" w:hanging="360"/>
        <w:jc w:val="both"/>
        <w:rPr/>
      </w:pPr>
      <w:r>
        <w:rPr>
          <w:rFonts w:cs="Calibri" w:ascii="Calibri" w:hAnsi="Calibri"/>
          <w:color w:val="000000"/>
          <w:sz w:val="20"/>
          <w:szCs w:val="20"/>
        </w:rPr>
        <w:t>les salariés entrés entre le 1</w:t>
      </w:r>
      <w:r>
        <w:rPr>
          <w:rFonts w:cs="Calibri" w:ascii="Calibri" w:hAnsi="Calibri"/>
          <w:color w:val="000000"/>
          <w:sz w:val="20"/>
          <w:szCs w:val="20"/>
          <w:vertAlign w:val="superscript"/>
        </w:rPr>
        <w:t>er</w:t>
      </w:r>
      <w:r>
        <w:rPr>
          <w:rFonts w:cs="Calibri" w:ascii="Calibri" w:hAnsi="Calibri"/>
          <w:color w:val="000000"/>
          <w:sz w:val="20"/>
          <w:szCs w:val="20"/>
        </w:rPr>
        <w:t xml:space="preserve"> septembre 2021 et le 31 décembre 2021 (hors cycle d’évaluation)</w:t>
      </w:r>
    </w:p>
    <w:p>
      <w:pPr>
        <w:pStyle w:val="Paragraphedeliste"/>
        <w:tabs>
          <w:tab w:val="left" w:pos="-142" w:leader="none"/>
        </w:tabs>
        <w:ind w:left="-426" w:right="-238" w:hanging="0"/>
        <w:jc w:val="both"/>
        <w:rPr>
          <w:rFonts w:ascii="Calibri" w:hAnsi="Calibri" w:cs="Calibri"/>
          <w:color w:val="000000"/>
          <w:sz w:val="20"/>
          <w:szCs w:val="20"/>
        </w:rPr>
      </w:pPr>
      <w:bookmarkStart w:id="31" w:name="_Hlk508111788"/>
      <w:bookmarkStart w:id="32" w:name="_Hlk505868072"/>
      <w:bookmarkStart w:id="33" w:name="_Hlk31641235"/>
      <w:bookmarkStart w:id="34" w:name="_Hlk508111788"/>
      <w:bookmarkStart w:id="35" w:name="_Hlk505868072"/>
      <w:bookmarkStart w:id="36" w:name="_Hlk31641235"/>
      <w:bookmarkEnd w:id="34"/>
      <w:bookmarkEnd w:id="35"/>
      <w:bookmarkEnd w:id="36"/>
      <w:r>
        <w:rPr>
          <w:rFonts w:cs="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Une enveloppe de 700k€ (cotisations patronales comprises) vient s’ajouter pour être consacrée aux primes de compétences SAP et Salesforce.</w:t>
      </w:r>
    </w:p>
    <w:p>
      <w:pPr>
        <w:pStyle w:val="Paragraphedeliste"/>
        <w:tabs>
          <w:tab w:val="left" w:pos="-142" w:leader="none"/>
        </w:tabs>
        <w:ind w:left="-426" w:right="-238" w:hanging="0"/>
        <w:jc w:val="both"/>
        <w:rPr>
          <w:rFonts w:ascii="Calibri" w:hAnsi="Calibri" w:eastAsia="Calibri" w:cs="Calibri"/>
          <w:color w:val="000000"/>
          <w:sz w:val="20"/>
          <w:szCs w:val="20"/>
        </w:rPr>
      </w:pPr>
      <w:r>
        <w:rPr>
          <w:rFonts w:eastAsia="Calibri" w:cs="Calibri"/>
          <w:color w:val="000000"/>
          <w:sz w:val="20"/>
          <w:szCs w:val="20"/>
        </w:rPr>
      </w:r>
    </w:p>
    <w:p>
      <w:pPr>
        <w:pStyle w:val="Paragraphedeliste"/>
        <w:ind w:left="-426" w:right="-238" w:hanging="0"/>
        <w:jc w:val="both"/>
        <w:rPr>
          <w:rFonts w:cs="Calibri"/>
          <w:b/>
          <w:b/>
          <w:iCs/>
          <w:color w:val="7030A0"/>
          <w:sz w:val="20"/>
          <w:szCs w:val="20"/>
        </w:rPr>
      </w:pPr>
      <w:r>
        <w:rPr>
          <w:rFonts w:cs="Calibri"/>
          <w:b/>
          <w:iCs/>
          <w:color w:val="7030A0"/>
          <w:sz w:val="20"/>
          <w:szCs w:val="20"/>
        </w:rPr>
        <w:t>Montants de bonus « Consultants » en dessous du grade Manager</w:t>
      </w:r>
    </w:p>
    <w:p>
      <w:pPr>
        <w:pStyle w:val="Paragraphedeliste"/>
        <w:ind w:left="-426" w:right="-238" w:hanging="0"/>
        <w:jc w:val="both"/>
        <w:rPr>
          <w:rFonts w:cs="Calibri"/>
          <w:color w:val="000000"/>
          <w:sz w:val="20"/>
          <w:szCs w:val="20"/>
        </w:rPr>
      </w:pPr>
      <w:r>
        <w:rPr>
          <w:rFonts w:cs="Calibri"/>
          <w:color w:val="000000"/>
          <w:sz w:val="20"/>
          <w:szCs w:val="20"/>
        </w:rPr>
        <w:t>Les montants de bonus sont fonction de la note de performance et s’expriment en montants (euros) :</w:t>
      </w:r>
    </w:p>
    <w:p>
      <w:pPr>
        <w:pStyle w:val="Paragraphedeliste"/>
        <w:ind w:left="-426" w:right="-238" w:hanging="0"/>
        <w:jc w:val="both"/>
        <w:rPr>
          <w:rFonts w:cs="Calibri"/>
          <w:b/>
          <w:b/>
          <w:iCs/>
          <w:color w:val="7030A0"/>
          <w:sz w:val="20"/>
          <w:szCs w:val="20"/>
        </w:rPr>
      </w:pPr>
      <w:r>
        <w:rPr>
          <w:rFonts w:cs="Calibri"/>
          <w:b/>
          <w:iCs/>
          <w:color w:val="7030A0"/>
          <w:sz w:val="20"/>
          <w:szCs w:val="20"/>
        </w:rPr>
      </w:r>
    </w:p>
    <w:tbl>
      <w:tblPr>
        <w:tblW w:w="8843" w:type="dxa"/>
        <w:jc w:val="left"/>
        <w:tblInd w:w="-431" w:type="dxa"/>
        <w:tblBorders>
          <w:bottom w:val="single" w:sz="4" w:space="0" w:color="000000"/>
          <w:insideH w:val="single" w:sz="4" w:space="0" w:color="000000"/>
        </w:tblBorders>
        <w:tblCellMar>
          <w:top w:w="0" w:type="dxa"/>
          <w:left w:w="108" w:type="dxa"/>
          <w:bottom w:w="0" w:type="dxa"/>
          <w:right w:w="108" w:type="dxa"/>
        </w:tblCellMar>
      </w:tblPr>
      <w:tblGrid>
        <w:gridCol w:w="1766"/>
        <w:gridCol w:w="1766"/>
        <w:gridCol w:w="1767"/>
        <w:gridCol w:w="1767"/>
        <w:gridCol w:w="1777"/>
      </w:tblGrid>
      <w:tr>
        <w:trPr/>
        <w:tc>
          <w:tcPr>
            <w:tcW w:w="1766" w:type="dxa"/>
            <w:tcBorders>
              <w:bottom w:val="single" w:sz="4" w:space="0" w:color="000000"/>
              <w:insideH w:val="single" w:sz="4" w:space="0" w:color="000000"/>
            </w:tcBorders>
            <w:shd w:fill="auto" w:val="clear"/>
          </w:tcPr>
          <w:p>
            <w:pPr>
              <w:pStyle w:val="Paragraphedeliste"/>
              <w:snapToGrid w:val="false"/>
              <w:ind w:left="0" w:right="-238" w:hanging="0"/>
              <w:jc w:val="both"/>
              <w:rPr>
                <w:rFonts w:cs="Calibri"/>
                <w:b/>
                <w:b/>
                <w:iCs/>
                <w:color w:val="7030A0"/>
                <w:sz w:val="20"/>
                <w:szCs w:val="20"/>
              </w:rPr>
            </w:pPr>
            <w:r>
              <w:rPr>
                <w:rFonts w:cs="Calibri"/>
                <w:b/>
                <w:iCs/>
                <w:color w:val="7030A0"/>
                <w:sz w:val="20"/>
                <w:szCs w:val="20"/>
              </w:rPr>
            </w:r>
          </w:p>
        </w:tc>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208" w:right="-238" w:hanging="0"/>
              <w:jc w:val="center"/>
              <w:rPr>
                <w:rFonts w:cs="Calibri"/>
                <w:b/>
                <w:b/>
                <w:iCs/>
                <w:color w:val="FFFFFF"/>
                <w:sz w:val="20"/>
                <w:szCs w:val="20"/>
              </w:rPr>
            </w:pPr>
            <w:r>
              <w:rPr>
                <w:rFonts w:cs="Calibri"/>
                <w:b/>
                <w:iCs/>
                <w:color w:val="FFFFFF"/>
                <w:sz w:val="20"/>
                <w:szCs w:val="20"/>
              </w:rPr>
              <w:t>GP-</w:t>
            </w:r>
          </w:p>
        </w:tc>
        <w:tc>
          <w:tcPr>
            <w:tcW w:w="176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271" w:right="-238" w:hanging="0"/>
              <w:jc w:val="center"/>
              <w:rPr>
                <w:rFonts w:cs="Calibri"/>
                <w:b/>
                <w:b/>
                <w:iCs/>
                <w:color w:val="FFFFFF"/>
                <w:sz w:val="20"/>
                <w:szCs w:val="20"/>
              </w:rPr>
            </w:pPr>
            <w:r>
              <w:rPr>
                <w:rFonts w:cs="Calibri"/>
                <w:b/>
                <w:iCs/>
                <w:color w:val="FFFFFF"/>
                <w:sz w:val="20"/>
                <w:szCs w:val="20"/>
              </w:rPr>
              <w:t>GP</w:t>
            </w:r>
          </w:p>
        </w:tc>
        <w:tc>
          <w:tcPr>
            <w:tcW w:w="176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191" w:right="-238" w:hanging="0"/>
              <w:jc w:val="center"/>
              <w:rPr>
                <w:rFonts w:cs="Calibri"/>
                <w:b/>
                <w:b/>
                <w:iCs/>
                <w:color w:val="FFFFFF"/>
                <w:sz w:val="20"/>
                <w:szCs w:val="20"/>
              </w:rPr>
            </w:pPr>
            <w:r>
              <w:rPr>
                <w:rFonts w:cs="Calibri"/>
                <w:b/>
                <w:iCs/>
                <w:color w:val="FFFFFF"/>
                <w:sz w:val="20"/>
                <w:szCs w:val="20"/>
              </w:rPr>
              <w:t>SP</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7030A0" w:val="clear"/>
            <w:tcMar>
              <w:left w:w="103" w:type="dxa"/>
            </w:tcMar>
          </w:tcPr>
          <w:p>
            <w:pPr>
              <w:pStyle w:val="Paragraphedeliste"/>
              <w:ind w:left="-263" w:right="-238" w:hanging="0"/>
              <w:jc w:val="center"/>
              <w:rPr>
                <w:rFonts w:cs="Calibri"/>
                <w:b/>
                <w:b/>
                <w:iCs/>
                <w:color w:val="FFFFFF"/>
                <w:sz w:val="20"/>
                <w:szCs w:val="20"/>
              </w:rPr>
            </w:pPr>
            <w:r>
              <w:rPr>
                <w:rFonts w:cs="Calibri"/>
                <w:b/>
                <w:iCs/>
                <w:color w:val="FFFFFF"/>
                <w:sz w:val="20"/>
                <w:szCs w:val="20"/>
              </w:rPr>
              <w:t>EP</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Analyst</w:t>
            </w:r>
          </w:p>
        </w:tc>
        <w:tc>
          <w:tcPr>
            <w:tcW w:w="1766"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08" w:right="-238" w:hanging="0"/>
              <w:jc w:val="center"/>
              <w:rPr>
                <w:rFonts w:cs="Calibri"/>
                <w:bCs/>
                <w:iCs/>
                <w:sz w:val="20"/>
                <w:szCs w:val="20"/>
              </w:rPr>
            </w:pPr>
            <w:r>
              <w:rPr>
                <w:rFonts w:cs="Calibri"/>
                <w:bCs/>
                <w:iCs/>
                <w:sz w:val="20"/>
                <w:szCs w:val="20"/>
              </w:rPr>
              <w:t>700 (promu)</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1 000</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1 800</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63" w:right="-238" w:hanging="0"/>
              <w:jc w:val="center"/>
              <w:rPr>
                <w:rFonts w:cs="Calibri"/>
                <w:bCs/>
                <w:iCs/>
                <w:sz w:val="20"/>
                <w:szCs w:val="20"/>
              </w:rPr>
            </w:pPr>
            <w:r>
              <w:rPr>
                <w:rFonts w:cs="Calibri"/>
                <w:bCs/>
                <w:iCs/>
                <w:sz w:val="20"/>
                <w:szCs w:val="20"/>
              </w:rPr>
              <w:t>3 000</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Consultant</w:t>
            </w:r>
          </w:p>
        </w:tc>
        <w:tc>
          <w:tcPr>
            <w:tcW w:w="1766"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08" w:right="-238" w:hanging="0"/>
              <w:jc w:val="center"/>
              <w:rPr>
                <w:rFonts w:cs="Calibri"/>
                <w:bCs/>
                <w:iCs/>
                <w:sz w:val="20"/>
                <w:szCs w:val="20"/>
              </w:rPr>
            </w:pPr>
            <w:r>
              <w:rPr>
                <w:rFonts w:cs="Calibri"/>
                <w:bCs/>
                <w:iCs/>
                <w:sz w:val="20"/>
                <w:szCs w:val="20"/>
              </w:rPr>
              <w:t>1 000 (promu)</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1 500 – 3 000</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3 500 – 4 500</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63" w:right="-238" w:hanging="0"/>
              <w:jc w:val="center"/>
              <w:rPr>
                <w:rFonts w:cs="Calibri"/>
                <w:bCs/>
                <w:iCs/>
                <w:sz w:val="20"/>
                <w:szCs w:val="20"/>
              </w:rPr>
            </w:pPr>
            <w:r>
              <w:rPr>
                <w:rFonts w:cs="Calibri"/>
                <w:bCs/>
                <w:iCs/>
                <w:sz w:val="20"/>
                <w:szCs w:val="20"/>
              </w:rPr>
              <w:t>5 500</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Senior Consultant</w:t>
            </w:r>
          </w:p>
        </w:tc>
        <w:tc>
          <w:tcPr>
            <w:tcW w:w="1766"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08" w:right="-238" w:hanging="0"/>
              <w:jc w:val="center"/>
              <w:rPr>
                <w:rFonts w:cs="Calibri"/>
                <w:bCs/>
                <w:iCs/>
                <w:sz w:val="20"/>
                <w:szCs w:val="20"/>
              </w:rPr>
            </w:pPr>
            <w:r>
              <w:rPr>
                <w:rFonts w:cs="Calibri"/>
                <w:bCs/>
                <w:iCs/>
                <w:sz w:val="20"/>
                <w:szCs w:val="20"/>
              </w:rPr>
              <w:t>2 500 (promu)</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4 000 – 5 500</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6 000 – 7 000</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63" w:right="-238" w:hanging="0"/>
              <w:jc w:val="center"/>
              <w:rPr>
                <w:rFonts w:cs="Calibri"/>
                <w:bCs/>
                <w:iCs/>
                <w:sz w:val="20"/>
                <w:szCs w:val="20"/>
              </w:rPr>
            </w:pPr>
            <w:r>
              <w:rPr>
                <w:rFonts w:cs="Calibri"/>
                <w:bCs/>
                <w:iCs/>
                <w:sz w:val="20"/>
                <w:szCs w:val="20"/>
              </w:rPr>
              <w:t>8 000</w:t>
            </w:r>
          </w:p>
        </w:tc>
      </w:tr>
    </w:tbl>
    <w:p>
      <w:pPr>
        <w:pStyle w:val="Paragraphedeliste"/>
        <w:ind w:left="-426" w:right="-238" w:hanging="0"/>
        <w:jc w:val="both"/>
        <w:rPr>
          <w:rFonts w:cs="Calibri"/>
          <w:b/>
          <w:b/>
          <w:iCs/>
          <w:color w:val="7030A0"/>
          <w:sz w:val="20"/>
          <w:szCs w:val="20"/>
        </w:rPr>
      </w:pPr>
      <w:r>
        <w:rPr>
          <w:rFonts w:cs="Calibri"/>
          <w:b/>
          <w:iCs/>
          <w:color w:val="7030A0"/>
          <w:sz w:val="20"/>
          <w:szCs w:val="20"/>
        </w:rPr>
      </w:r>
    </w:p>
    <w:p>
      <w:pPr>
        <w:pStyle w:val="Paragraphedeliste"/>
        <w:ind w:left="-426" w:right="-238" w:hanging="0"/>
        <w:jc w:val="both"/>
        <w:rPr>
          <w:rFonts w:cs="Calibri"/>
          <w:b/>
          <w:b/>
          <w:iCs/>
          <w:color w:val="7030A0"/>
          <w:sz w:val="20"/>
          <w:szCs w:val="20"/>
        </w:rPr>
      </w:pPr>
      <w:r>
        <w:rPr>
          <w:rFonts w:cs="Calibri"/>
          <w:b/>
          <w:iCs/>
          <w:color w:val="7030A0"/>
          <w:sz w:val="20"/>
          <w:szCs w:val="20"/>
        </w:rPr>
        <w:t>Montants de variable « Consultants » pour les grades Manager et plus</w:t>
      </w:r>
    </w:p>
    <w:p>
      <w:pPr>
        <w:pStyle w:val="Paragraphedeliste"/>
        <w:ind w:left="-426" w:right="-238" w:hanging="0"/>
        <w:jc w:val="both"/>
        <w:rPr>
          <w:rFonts w:cs="Calibri"/>
          <w:b/>
          <w:b/>
          <w:iCs/>
          <w:color w:val="000000"/>
          <w:sz w:val="20"/>
          <w:szCs w:val="20"/>
        </w:rPr>
      </w:pPr>
      <w:r>
        <w:rPr>
          <w:rFonts w:cs="Calibri"/>
          <w:b/>
          <w:iCs/>
          <w:color w:val="000000"/>
          <w:sz w:val="20"/>
          <w:szCs w:val="20"/>
        </w:rPr>
      </w:r>
    </w:p>
    <w:p>
      <w:pPr>
        <w:pStyle w:val="Paragraphedeliste"/>
        <w:ind w:left="-426" w:right="-238" w:hanging="0"/>
        <w:jc w:val="both"/>
        <w:rPr>
          <w:rFonts w:cs="Calibri"/>
          <w:color w:val="000000"/>
          <w:sz w:val="20"/>
          <w:szCs w:val="20"/>
        </w:rPr>
      </w:pPr>
      <w:r>
        <w:rPr>
          <w:rFonts w:cs="Calibri"/>
          <w:color w:val="000000"/>
          <w:sz w:val="20"/>
          <w:szCs w:val="20"/>
          <w:u w:val="single"/>
        </w:rPr>
        <w:t xml:space="preserve">Pour les Managers et Senior Managers </w:t>
      </w:r>
      <w:r>
        <w:rPr>
          <w:rFonts w:cs="Calibri"/>
          <w:color w:val="000000"/>
          <w:sz w:val="20"/>
          <w:szCs w:val="20"/>
        </w:rPr>
        <w:t xml:space="preserve"> </w:t>
      </w:r>
    </w:p>
    <w:p>
      <w:pPr>
        <w:pStyle w:val="Paragraphedeliste"/>
        <w:ind w:left="-426" w:right="-238" w:hanging="0"/>
        <w:jc w:val="both"/>
        <w:rPr>
          <w:rFonts w:cs="Calibri"/>
          <w:color w:val="000000"/>
          <w:sz w:val="20"/>
          <w:szCs w:val="20"/>
        </w:rPr>
      </w:pPr>
      <w:r>
        <w:rPr>
          <w:rFonts w:cs="Calibri"/>
          <w:color w:val="000000"/>
          <w:sz w:val="20"/>
          <w:szCs w:val="20"/>
        </w:rPr>
        <w:t>Les montants de variable sont fonction de la note de performance et s’expriment en % de salaire brut annuel à l’intérieur de fourchettes par note :</w:t>
      </w:r>
    </w:p>
    <w:p>
      <w:pPr>
        <w:pStyle w:val="Paragraphedeliste"/>
        <w:ind w:left="-426" w:right="-238" w:hanging="0"/>
        <w:jc w:val="both"/>
        <w:rPr>
          <w:rFonts w:cs="Calibri"/>
          <w:color w:val="000000"/>
          <w:sz w:val="20"/>
          <w:szCs w:val="20"/>
        </w:rPr>
      </w:pPr>
      <w:r>
        <w:rPr>
          <w:rFonts w:cs="Calibri"/>
          <w:color w:val="000000"/>
          <w:sz w:val="20"/>
          <w:szCs w:val="20"/>
        </w:rPr>
      </w:r>
    </w:p>
    <w:tbl>
      <w:tblPr>
        <w:tblW w:w="7077" w:type="dxa"/>
        <w:jc w:val="left"/>
        <w:tblInd w:w="-431" w:type="dxa"/>
        <w:tblBorders>
          <w:bottom w:val="single" w:sz="4" w:space="0" w:color="000000"/>
          <w:insideH w:val="single" w:sz="4" w:space="0" w:color="000000"/>
        </w:tblBorders>
        <w:tblCellMar>
          <w:top w:w="0" w:type="dxa"/>
          <w:left w:w="108" w:type="dxa"/>
          <w:bottom w:w="0" w:type="dxa"/>
          <w:right w:w="108" w:type="dxa"/>
        </w:tblCellMar>
      </w:tblPr>
      <w:tblGrid>
        <w:gridCol w:w="1766"/>
        <w:gridCol w:w="1767"/>
        <w:gridCol w:w="1767"/>
        <w:gridCol w:w="1777"/>
      </w:tblGrid>
      <w:tr>
        <w:trPr/>
        <w:tc>
          <w:tcPr>
            <w:tcW w:w="1766" w:type="dxa"/>
            <w:tcBorders>
              <w:bottom w:val="single" w:sz="4" w:space="0" w:color="000000"/>
              <w:insideH w:val="single" w:sz="4" w:space="0" w:color="000000"/>
            </w:tcBorders>
            <w:shd w:fill="auto" w:val="clear"/>
          </w:tcPr>
          <w:p>
            <w:pPr>
              <w:pStyle w:val="Paragraphedeliste"/>
              <w:snapToGrid w:val="false"/>
              <w:ind w:left="0" w:right="-238" w:hanging="0"/>
              <w:jc w:val="both"/>
              <w:rPr>
                <w:rFonts w:cs="Calibri"/>
                <w:b/>
                <w:b/>
                <w:iCs/>
                <w:color w:val="7030A0"/>
                <w:sz w:val="20"/>
                <w:szCs w:val="20"/>
              </w:rPr>
            </w:pPr>
            <w:r>
              <w:rPr>
                <w:rFonts w:cs="Calibri"/>
                <w:b/>
                <w:iCs/>
                <w:color w:val="7030A0"/>
                <w:sz w:val="20"/>
                <w:szCs w:val="20"/>
              </w:rPr>
            </w:r>
          </w:p>
        </w:tc>
        <w:tc>
          <w:tcPr>
            <w:tcW w:w="176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271" w:right="-238" w:hanging="0"/>
              <w:jc w:val="center"/>
              <w:rPr>
                <w:rFonts w:cs="Calibri"/>
                <w:b/>
                <w:b/>
                <w:iCs/>
                <w:color w:val="FFFFFF"/>
                <w:sz w:val="20"/>
                <w:szCs w:val="20"/>
              </w:rPr>
            </w:pPr>
            <w:r>
              <w:rPr>
                <w:rFonts w:cs="Calibri"/>
                <w:b/>
                <w:iCs/>
                <w:color w:val="FFFFFF"/>
                <w:sz w:val="20"/>
                <w:szCs w:val="20"/>
              </w:rPr>
              <w:t>GP</w:t>
            </w:r>
          </w:p>
        </w:tc>
        <w:tc>
          <w:tcPr>
            <w:tcW w:w="176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191" w:right="-238" w:hanging="0"/>
              <w:jc w:val="center"/>
              <w:rPr>
                <w:rFonts w:cs="Calibri"/>
                <w:b/>
                <w:b/>
                <w:iCs/>
                <w:color w:val="FFFFFF"/>
                <w:sz w:val="20"/>
                <w:szCs w:val="20"/>
              </w:rPr>
            </w:pPr>
            <w:r>
              <w:rPr>
                <w:rFonts w:cs="Calibri"/>
                <w:b/>
                <w:iCs/>
                <w:color w:val="FFFFFF"/>
                <w:sz w:val="20"/>
                <w:szCs w:val="20"/>
              </w:rPr>
              <w:t>SP</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7030A0" w:val="clear"/>
            <w:tcMar>
              <w:left w:w="103" w:type="dxa"/>
            </w:tcMar>
          </w:tcPr>
          <w:p>
            <w:pPr>
              <w:pStyle w:val="Paragraphedeliste"/>
              <w:ind w:left="-263" w:right="-238" w:hanging="0"/>
              <w:jc w:val="center"/>
              <w:rPr>
                <w:rFonts w:cs="Calibri"/>
                <w:b/>
                <w:b/>
                <w:iCs/>
                <w:color w:val="FFFFFF"/>
                <w:sz w:val="20"/>
                <w:szCs w:val="20"/>
              </w:rPr>
            </w:pPr>
            <w:r>
              <w:rPr>
                <w:rFonts w:cs="Calibri"/>
                <w:b/>
                <w:iCs/>
                <w:color w:val="FFFFFF"/>
                <w:sz w:val="20"/>
                <w:szCs w:val="20"/>
              </w:rPr>
              <w:t>EP</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Manager/ SM</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5 à 15%</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15 à 25%</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63" w:right="-238" w:hanging="0"/>
              <w:jc w:val="center"/>
              <w:rPr>
                <w:rFonts w:cs="Calibri"/>
                <w:bCs/>
                <w:iCs/>
                <w:sz w:val="20"/>
                <w:szCs w:val="20"/>
              </w:rPr>
            </w:pPr>
            <w:r>
              <w:rPr>
                <w:rFonts w:cs="Calibri"/>
                <w:bCs/>
                <w:iCs/>
                <w:sz w:val="20"/>
                <w:szCs w:val="20"/>
              </w:rPr>
              <w:t>30 à 40%</w:t>
            </w:r>
          </w:p>
        </w:tc>
      </w:tr>
    </w:tbl>
    <w:p>
      <w:pPr>
        <w:pStyle w:val="Paragraphedeliste"/>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u w:val="single"/>
        </w:rPr>
      </w:pPr>
      <w:r>
        <w:rPr>
          <w:rFonts w:cs="Calibri"/>
          <w:color w:val="000000"/>
          <w:sz w:val="20"/>
          <w:szCs w:val="20"/>
          <w:u w:val="single"/>
        </w:rPr>
        <w:t xml:space="preserve">Pour les Directeurs Associés </w:t>
      </w:r>
    </w:p>
    <w:p>
      <w:pPr>
        <w:pStyle w:val="Paragraphedeliste"/>
        <w:ind w:left="-426" w:right="-238" w:hanging="0"/>
        <w:jc w:val="both"/>
        <w:rPr>
          <w:rFonts w:cs="Calibri"/>
          <w:color w:val="000000"/>
          <w:sz w:val="20"/>
          <w:szCs w:val="20"/>
        </w:rPr>
      </w:pPr>
      <w:r>
        <w:rPr>
          <w:rFonts w:cs="Calibri"/>
          <w:color w:val="000000"/>
          <w:sz w:val="20"/>
          <w:szCs w:val="20"/>
        </w:rPr>
        <w:t>Les montants de variable sont fonction de la note de performance et s’expriment en montants (euros) :</w:t>
      </w:r>
    </w:p>
    <w:p>
      <w:pPr>
        <w:pStyle w:val="Paragraphedeliste"/>
        <w:ind w:left="-426" w:right="-238" w:hanging="0"/>
        <w:jc w:val="both"/>
        <w:rPr>
          <w:rFonts w:cs="Calibri"/>
          <w:color w:val="000000"/>
          <w:sz w:val="20"/>
          <w:szCs w:val="20"/>
        </w:rPr>
      </w:pPr>
      <w:r>
        <w:rPr>
          <w:rFonts w:cs="Calibri"/>
          <w:color w:val="000000"/>
          <w:sz w:val="20"/>
          <w:szCs w:val="20"/>
        </w:rPr>
      </w:r>
    </w:p>
    <w:tbl>
      <w:tblPr>
        <w:tblW w:w="8297" w:type="dxa"/>
        <w:jc w:val="left"/>
        <w:tblInd w:w="-431" w:type="dxa"/>
        <w:tblBorders>
          <w:bottom w:val="single" w:sz="4" w:space="0" w:color="000000"/>
          <w:insideH w:val="single" w:sz="4" w:space="0" w:color="000000"/>
        </w:tblBorders>
        <w:tblCellMar>
          <w:top w:w="0" w:type="dxa"/>
          <w:left w:w="108" w:type="dxa"/>
          <w:bottom w:w="0" w:type="dxa"/>
          <w:right w:w="108" w:type="dxa"/>
        </w:tblCellMar>
      </w:tblPr>
      <w:tblGrid>
        <w:gridCol w:w="1766"/>
        <w:gridCol w:w="2497"/>
        <w:gridCol w:w="2465"/>
        <w:gridCol w:w="1569"/>
      </w:tblGrid>
      <w:tr>
        <w:trPr/>
        <w:tc>
          <w:tcPr>
            <w:tcW w:w="1766" w:type="dxa"/>
            <w:tcBorders>
              <w:bottom w:val="single" w:sz="4" w:space="0" w:color="000000"/>
              <w:insideH w:val="single" w:sz="4" w:space="0" w:color="000000"/>
            </w:tcBorders>
            <w:shd w:fill="auto" w:val="clear"/>
          </w:tcPr>
          <w:p>
            <w:pPr>
              <w:pStyle w:val="Paragraphedeliste"/>
              <w:snapToGrid w:val="false"/>
              <w:ind w:left="0" w:right="-238" w:hanging="0"/>
              <w:jc w:val="both"/>
              <w:rPr>
                <w:rFonts w:cs="Calibri"/>
                <w:b/>
                <w:b/>
                <w:iCs/>
                <w:color w:val="7030A0"/>
                <w:sz w:val="20"/>
                <w:szCs w:val="20"/>
              </w:rPr>
            </w:pPr>
            <w:r>
              <w:rPr>
                <w:rFonts w:cs="Calibri"/>
                <w:b/>
                <w:iCs/>
                <w:color w:val="7030A0"/>
                <w:sz w:val="20"/>
                <w:szCs w:val="20"/>
              </w:rPr>
            </w:r>
          </w:p>
        </w:tc>
        <w:tc>
          <w:tcPr>
            <w:tcW w:w="249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271" w:right="-238" w:hanging="0"/>
              <w:jc w:val="center"/>
              <w:rPr>
                <w:rFonts w:cs="Calibri"/>
                <w:b/>
                <w:b/>
                <w:iCs/>
                <w:color w:val="FFFFFF"/>
                <w:sz w:val="20"/>
                <w:szCs w:val="20"/>
              </w:rPr>
            </w:pPr>
            <w:r>
              <w:rPr>
                <w:rFonts w:cs="Calibri"/>
                <w:b/>
                <w:iCs/>
                <w:color w:val="FFFFFF"/>
                <w:sz w:val="20"/>
                <w:szCs w:val="20"/>
              </w:rPr>
              <w:t>GP</w:t>
            </w:r>
          </w:p>
        </w:tc>
        <w:tc>
          <w:tcPr>
            <w:tcW w:w="2465"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191" w:right="-238" w:hanging="0"/>
              <w:jc w:val="center"/>
              <w:rPr>
                <w:rFonts w:cs="Calibri"/>
                <w:b/>
                <w:b/>
                <w:iCs/>
                <w:color w:val="FFFFFF"/>
                <w:sz w:val="20"/>
                <w:szCs w:val="20"/>
              </w:rPr>
            </w:pPr>
            <w:r>
              <w:rPr>
                <w:rFonts w:cs="Calibri"/>
                <w:b/>
                <w:iCs/>
                <w:color w:val="FFFFFF"/>
                <w:sz w:val="20"/>
                <w:szCs w:val="20"/>
              </w:rPr>
              <w:t>SP</w:t>
            </w:r>
          </w:p>
        </w:tc>
        <w:tc>
          <w:tcPr>
            <w:tcW w:w="15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7030A0" w:val="clear"/>
            <w:tcMar>
              <w:left w:w="103" w:type="dxa"/>
            </w:tcMar>
          </w:tcPr>
          <w:p>
            <w:pPr>
              <w:pStyle w:val="Paragraphedeliste"/>
              <w:ind w:left="-250" w:right="-238" w:hanging="0"/>
              <w:jc w:val="center"/>
              <w:rPr>
                <w:rFonts w:cs="Calibri"/>
                <w:b/>
                <w:b/>
                <w:iCs/>
                <w:color w:val="FFFFFF"/>
                <w:sz w:val="20"/>
                <w:szCs w:val="20"/>
              </w:rPr>
            </w:pPr>
            <w:r>
              <w:rPr>
                <w:rFonts w:cs="Calibri"/>
                <w:b/>
                <w:iCs/>
                <w:color w:val="FFFFFF"/>
                <w:sz w:val="20"/>
                <w:szCs w:val="20"/>
              </w:rPr>
              <w:t>EP</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Directors</w:t>
            </w:r>
          </w:p>
        </w:tc>
        <w:tc>
          <w:tcPr>
            <w:tcW w:w="249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15 000 - 20 000 – 25 000</w:t>
            </w:r>
          </w:p>
        </w:tc>
        <w:tc>
          <w:tcPr>
            <w:tcW w:w="2465"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30 000 – 35 000 – 40 000</w:t>
            </w:r>
          </w:p>
        </w:tc>
        <w:tc>
          <w:tcPr>
            <w:tcW w:w="15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50" w:right="-238" w:hanging="0"/>
              <w:jc w:val="center"/>
              <w:rPr>
                <w:rFonts w:cs="Calibri"/>
                <w:bCs/>
                <w:iCs/>
                <w:sz w:val="20"/>
                <w:szCs w:val="20"/>
              </w:rPr>
            </w:pPr>
            <w:r>
              <w:rPr>
                <w:rFonts w:cs="Calibri"/>
                <w:bCs/>
                <w:iCs/>
                <w:sz w:val="20"/>
                <w:szCs w:val="20"/>
              </w:rPr>
              <w:t>50 000</w:t>
            </w:r>
          </w:p>
        </w:tc>
      </w:tr>
    </w:tbl>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sz w:val="20"/>
          <w:szCs w:val="20"/>
        </w:rPr>
      </w:pPr>
      <w:r>
        <w:rPr>
          <w:rFonts w:cs="Calibri"/>
          <w:color w:val="000000"/>
          <w:sz w:val="20"/>
          <w:szCs w:val="20"/>
        </w:rPr>
        <w:t>Quels que soient le grade et la population, des exceptions, validées par le Comex, pourront éventuellement être appliquées et expliquées aux collaborateurs concernés.</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Heading2"/>
        <w:keepLines/>
        <w:numPr>
          <w:ilvl w:val="2"/>
          <w:numId w:val="9"/>
        </w:numPr>
        <w:ind w:left="851" w:right="-238" w:hanging="1277"/>
        <w:jc w:val="left"/>
        <w:rPr>
          <w:rFonts w:ascii="Calibri" w:hAnsi="Calibri" w:cs="Calibri"/>
          <w:color w:val="00B0F0"/>
          <w:sz w:val="20"/>
          <w:szCs w:val="20"/>
        </w:rPr>
      </w:pPr>
      <w:r>
        <w:rPr>
          <w:rFonts w:cs="Calibri" w:ascii="Calibri" w:hAnsi="Calibri"/>
          <w:color w:val="00B0F0"/>
          <w:sz w:val="20"/>
          <w:szCs w:val="20"/>
        </w:rPr>
        <w:t>Population Support</w:t>
      </w:r>
    </w:p>
    <w:p>
      <w:pPr>
        <w:pStyle w:val="Normal"/>
        <w:ind w:left="-426" w:right="-238" w:hanging="0"/>
        <w:rPr>
          <w:rFonts w:ascii="Calibri" w:hAnsi="Calibri" w:cs="Calibri"/>
          <w:color w:val="00B0F0"/>
          <w:sz w:val="20"/>
          <w:szCs w:val="20"/>
        </w:rPr>
      </w:pPr>
      <w:r>
        <w:rPr>
          <w:rFonts w:cs="Calibri" w:ascii="Calibri" w:hAnsi="Calibri"/>
          <w:color w:val="00B0F0"/>
          <w:sz w:val="20"/>
          <w:szCs w:val="20"/>
        </w:rPr>
      </w:r>
    </w:p>
    <w:p>
      <w:pPr>
        <w:pStyle w:val="Paragraphedeliste"/>
        <w:tabs>
          <w:tab w:val="left" w:pos="-142" w:leader="none"/>
        </w:tabs>
        <w:ind w:left="-426" w:right="-238" w:hanging="0"/>
        <w:jc w:val="both"/>
        <w:rPr>
          <w:rFonts w:cs="Calibri"/>
          <w:color w:val="000000"/>
          <w:sz w:val="20"/>
          <w:szCs w:val="20"/>
          <w:u w:val="single"/>
        </w:rPr>
      </w:pPr>
      <w:bookmarkStart w:id="37" w:name="_Hlk505868391"/>
      <w:bookmarkEnd w:id="37"/>
      <w:r>
        <w:rPr>
          <w:rFonts w:cs="Calibri"/>
          <w:color w:val="000000"/>
          <w:sz w:val="20"/>
          <w:szCs w:val="20"/>
          <w:u w:val="single"/>
        </w:rPr>
        <w:t>Enveloppe de variable versée en 2022</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L’enveloppe consacrée à la rémunération variable sera de 485K€ (cotisations patronales comprises).</w:t>
      </w:r>
    </w:p>
    <w:p>
      <w:pPr>
        <w:pStyle w:val="Paragraphedeliste"/>
        <w:tabs>
          <w:tab w:val="left" w:pos="284" w:leader="none"/>
        </w:tabs>
        <w:ind w:left="-426" w:right="-238" w:hanging="0"/>
        <w:jc w:val="both"/>
        <w:rPr>
          <w:rFonts w:cs="Calibri"/>
          <w:color w:val="000000"/>
          <w:sz w:val="20"/>
          <w:szCs w:val="20"/>
        </w:rPr>
      </w:pPr>
      <w:bookmarkStart w:id="38" w:name="_Hlk505868391"/>
      <w:bookmarkStart w:id="39" w:name="_Hlk505868391"/>
      <w:bookmarkEnd w:id="39"/>
      <w:r>
        <w:rPr>
          <w:rFonts w:cs="Calibri"/>
          <w:color w:val="000000"/>
          <w:sz w:val="20"/>
          <w:szCs w:val="20"/>
        </w:rPr>
      </w:r>
    </w:p>
    <w:p>
      <w:pPr>
        <w:pStyle w:val="Paragraphedeliste"/>
        <w:ind w:left="-426" w:right="-238" w:hanging="0"/>
        <w:jc w:val="both"/>
        <w:rPr>
          <w:rFonts w:cs="Calibri"/>
          <w:color w:val="000000"/>
          <w:sz w:val="20"/>
          <w:szCs w:val="20"/>
        </w:rPr>
      </w:pPr>
      <w:r>
        <w:rPr>
          <w:rFonts w:cs="Calibri"/>
          <w:b/>
          <w:iCs/>
          <w:color w:val="7030A0"/>
          <w:sz w:val="20"/>
          <w:szCs w:val="20"/>
        </w:rPr>
        <w:t>Montants de bonus « Supports » </w:t>
      </w:r>
      <w:r>
        <w:rPr>
          <w:rFonts w:cs="Calibri"/>
          <w:color w:val="000000"/>
          <w:sz w:val="20"/>
          <w:szCs w:val="20"/>
        </w:rPr>
        <w:t xml:space="preserve"> </w:t>
      </w:r>
    </w:p>
    <w:p>
      <w:pPr>
        <w:pStyle w:val="Paragraphedeliste"/>
        <w:ind w:left="-426" w:right="-238" w:hanging="0"/>
        <w:jc w:val="both"/>
        <w:rPr>
          <w:rFonts w:cs="Calibri"/>
          <w:color w:val="000000"/>
          <w:sz w:val="20"/>
          <w:szCs w:val="20"/>
        </w:rPr>
      </w:pPr>
      <w:r>
        <w:rPr>
          <w:rFonts w:cs="Calibri"/>
          <w:color w:val="000000"/>
          <w:sz w:val="20"/>
          <w:szCs w:val="20"/>
        </w:rPr>
        <w:t>Les montants de bonus sont fonction de la note de performance et s’expriment en montants (euros) :</w:t>
      </w:r>
    </w:p>
    <w:tbl>
      <w:tblPr>
        <w:tblW w:w="6824" w:type="dxa"/>
        <w:jc w:val="left"/>
        <w:tblInd w:w="1063" w:type="dxa"/>
        <w:tblBorders/>
        <w:tblCellMar>
          <w:top w:w="0" w:type="dxa"/>
          <w:left w:w="70" w:type="dxa"/>
          <w:bottom w:w="0" w:type="dxa"/>
          <w:right w:w="70" w:type="dxa"/>
        </w:tblCellMar>
      </w:tblPr>
      <w:tblGrid>
        <w:gridCol w:w="1388"/>
        <w:gridCol w:w="783"/>
        <w:gridCol w:w="947"/>
        <w:gridCol w:w="961"/>
        <w:gridCol w:w="1024"/>
        <w:gridCol w:w="884"/>
        <w:gridCol w:w="817"/>
        <w:gridCol w:w="20"/>
      </w:tblGrid>
      <w:tr>
        <w:trPr>
          <w:trHeight w:val="248" w:hRule="atLeast"/>
        </w:trPr>
        <w:tc>
          <w:tcPr>
            <w:tcW w:w="6804" w:type="dxa"/>
            <w:gridSpan w:val="7"/>
            <w:tcBorders/>
            <w:shd w:fill="auto" w:val="clear"/>
            <w:vAlign w:val="center"/>
          </w:tcPr>
          <w:p>
            <w:pPr>
              <w:pStyle w:val="Normal"/>
              <w:snapToGrid w:val="false"/>
              <w:jc w:val="center"/>
              <w:rPr>
                <w:rFonts w:ascii="Calibri" w:hAnsi="Calibri" w:cs="Calibri"/>
                <w:b/>
                <w:b/>
                <w:bCs/>
                <w:color w:val="00B0F0"/>
                <w:sz w:val="20"/>
                <w:szCs w:val="20"/>
              </w:rPr>
            </w:pPr>
            <w:r>
              <w:rPr>
                <w:rFonts w:cs="Calibri" w:ascii="Calibri" w:hAnsi="Calibri"/>
                <w:b/>
                <w:bCs/>
                <w:color w:val="00B0F0"/>
                <w:sz w:val="20"/>
                <w:szCs w:val="20"/>
              </w:rPr>
            </w:r>
          </w:p>
        </w:tc>
      </w:tr>
      <w:tr>
        <w:trPr>
          <w:trHeight w:val="238" w:hRule="atLeast"/>
        </w:trPr>
        <w:tc>
          <w:tcPr>
            <w:tcW w:w="1388" w:type="dxa"/>
            <w:tcBorders/>
            <w:shd w:fill="auto" w:val="clear"/>
            <w:vAlign w:val="center"/>
          </w:tcPr>
          <w:p>
            <w:pPr>
              <w:pStyle w:val="Normal"/>
              <w:snapToGrid w:val="false"/>
              <w:jc w:val="center"/>
              <w:rPr>
                <w:rFonts w:ascii="Calibri" w:hAnsi="Calibri" w:cs="Calibri"/>
                <w:b/>
                <w:b/>
                <w:bCs/>
                <w:color w:val="FFFFFF"/>
                <w:sz w:val="20"/>
                <w:szCs w:val="20"/>
              </w:rPr>
            </w:pPr>
            <w:r>
              <w:rPr>
                <w:rFonts w:cs="Calibri" w:ascii="Calibri" w:hAnsi="Calibri"/>
                <w:b/>
                <w:bCs/>
                <w:color w:val="FFFFFF"/>
                <w:sz w:val="20"/>
                <w:szCs w:val="20"/>
              </w:rPr>
            </w:r>
          </w:p>
        </w:tc>
        <w:tc>
          <w:tcPr>
            <w:tcW w:w="783" w:type="dxa"/>
            <w:vMerge w:val="restart"/>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color w:val="FFFFFF"/>
                <w:sz w:val="20"/>
                <w:szCs w:val="20"/>
              </w:rPr>
              <w:t>UP/IR</w:t>
            </w:r>
          </w:p>
        </w:tc>
        <w:tc>
          <w:tcPr>
            <w:tcW w:w="1908" w:type="dxa"/>
            <w:gridSpan w:val="2"/>
            <w:tcBorders/>
            <w:shd w:fill="7030A0" w:val="clear"/>
            <w:tcMar>
              <w:left w:w="0" w:type="dxa"/>
              <w:right w:w="0" w:type="dxa"/>
            </w:tcMar>
            <w:vAlign w:val="center"/>
          </w:tcPr>
          <w:p>
            <w:pPr>
              <w:pStyle w:val="Normal"/>
              <w:jc w:val="center"/>
              <w:rPr>
                <w:rFonts w:ascii="Calibri" w:hAnsi="Calibri" w:cs="Calibri"/>
                <w:b/>
                <w:b/>
                <w:bCs/>
                <w:color w:val="FFFFFF"/>
                <w:sz w:val="20"/>
                <w:szCs w:val="20"/>
              </w:rPr>
            </w:pPr>
            <w:r>
              <w:rPr>
                <w:rFonts w:cs="Calibri" w:ascii="Calibri" w:hAnsi="Calibri"/>
                <w:b/>
                <w:bCs/>
                <w:color w:val="FFFFFF"/>
                <w:sz w:val="20"/>
                <w:szCs w:val="20"/>
              </w:rPr>
              <w:t>GP</w:t>
            </w:r>
          </w:p>
        </w:tc>
        <w:tc>
          <w:tcPr>
            <w:tcW w:w="1908" w:type="dxa"/>
            <w:gridSpan w:val="2"/>
            <w:tcBorders/>
            <w:shd w:fill="7030A0" w:val="clear"/>
            <w:tcMar>
              <w:left w:w="0" w:type="dxa"/>
              <w:right w:w="0" w:type="dxa"/>
            </w:tcMar>
            <w:vAlign w:val="center"/>
          </w:tcPr>
          <w:p>
            <w:pPr>
              <w:pStyle w:val="Normal"/>
              <w:jc w:val="center"/>
              <w:rPr>
                <w:rFonts w:ascii="Calibri" w:hAnsi="Calibri" w:cs="Calibri"/>
                <w:b/>
                <w:b/>
                <w:bCs/>
                <w:color w:val="FFFFFF"/>
                <w:sz w:val="20"/>
                <w:szCs w:val="20"/>
              </w:rPr>
            </w:pPr>
            <w:r>
              <w:rPr>
                <w:rFonts w:cs="Calibri" w:ascii="Calibri" w:hAnsi="Calibri"/>
                <w:b/>
                <w:bCs/>
                <w:color w:val="FFFFFF"/>
                <w:sz w:val="20"/>
                <w:szCs w:val="20"/>
              </w:rPr>
              <w:t>SP</w:t>
            </w:r>
          </w:p>
        </w:tc>
        <w:tc>
          <w:tcPr>
            <w:tcW w:w="837" w:type="dxa"/>
            <w:vMerge w:val="restart"/>
            <w:tcBorders>
              <w:right w:val="single" w:sz="8" w:space="0" w:color="000000"/>
              <w:insideV w:val="single" w:sz="8" w:space="0" w:color="000000"/>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color w:val="FFFFFF"/>
                <w:sz w:val="20"/>
                <w:szCs w:val="20"/>
              </w:rPr>
              <w:t>EP</w:t>
            </w:r>
          </w:p>
        </w:tc>
      </w:tr>
      <w:tr>
        <w:trPr>
          <w:trHeight w:val="238" w:hRule="atLeast"/>
        </w:trPr>
        <w:tc>
          <w:tcPr>
            <w:tcW w:w="1388" w:type="dxa"/>
            <w:tcBorders/>
            <w:shd w:fill="auto" w:val="clear"/>
            <w:vAlign w:val="center"/>
          </w:tcPr>
          <w:p>
            <w:pPr>
              <w:pStyle w:val="Normal"/>
              <w:snapToGrid w:val="false"/>
              <w:jc w:val="center"/>
              <w:rPr>
                <w:rFonts w:ascii="Calibri" w:hAnsi="Calibri" w:cs="Calibri"/>
                <w:b/>
                <w:b/>
                <w:bCs/>
                <w:color w:val="FFFFFF"/>
                <w:sz w:val="20"/>
                <w:szCs w:val="20"/>
              </w:rPr>
            </w:pPr>
            <w:r>
              <w:rPr>
                <w:rFonts w:cs="Calibri" w:ascii="Calibri" w:hAnsi="Calibri"/>
                <w:b/>
                <w:bCs/>
                <w:color w:val="FFFFFF"/>
                <w:sz w:val="20"/>
                <w:szCs w:val="20"/>
              </w:rPr>
            </w:r>
          </w:p>
        </w:tc>
        <w:tc>
          <w:tcPr>
            <w:tcW w:w="783" w:type="dxa"/>
            <w:vMerge w:val="continue"/>
            <w:tcBorders/>
            <w:shd w:fill="7030A0" w:val="clear"/>
            <w:tcMar>
              <w:left w:w="0" w:type="dxa"/>
              <w:right w:w="0" w:type="dxa"/>
            </w:tcMar>
            <w:vAlign w:val="center"/>
          </w:tcPr>
          <w:p>
            <w:pPr>
              <w:pStyle w:val="Normal"/>
              <w:snapToGrid w:val="false"/>
              <w:jc w:val="center"/>
              <w:rPr>
                <w:rFonts w:ascii="Calibri" w:hAnsi="Calibri" w:cs="Calibri"/>
                <w:b/>
                <w:b/>
                <w:bCs/>
                <w:color w:val="FFFFFF"/>
                <w:sz w:val="20"/>
                <w:szCs w:val="20"/>
              </w:rPr>
            </w:pPr>
            <w:r>
              <w:rPr>
                <w:rFonts w:cs="Calibri" w:ascii="Calibri" w:hAnsi="Calibri"/>
                <w:b/>
                <w:bCs/>
                <w:color w:val="FFFFFF"/>
                <w:sz w:val="20"/>
                <w:szCs w:val="20"/>
              </w:rPr>
            </w:r>
          </w:p>
        </w:tc>
        <w:tc>
          <w:tcPr>
            <w:tcW w:w="947" w:type="dxa"/>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b/>
                <w:bCs/>
                <w:color w:val="FFFFFF"/>
                <w:sz w:val="20"/>
                <w:szCs w:val="20"/>
              </w:rPr>
              <w:t>mini</w:t>
            </w:r>
          </w:p>
        </w:tc>
        <w:tc>
          <w:tcPr>
            <w:tcW w:w="961" w:type="dxa"/>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b/>
                <w:bCs/>
                <w:color w:val="FFFFFF"/>
                <w:sz w:val="20"/>
                <w:szCs w:val="20"/>
              </w:rPr>
              <w:t>maxi</w:t>
            </w:r>
          </w:p>
        </w:tc>
        <w:tc>
          <w:tcPr>
            <w:tcW w:w="1024" w:type="dxa"/>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b/>
                <w:bCs/>
                <w:color w:val="FFFFFF"/>
                <w:sz w:val="20"/>
                <w:szCs w:val="20"/>
              </w:rPr>
              <w:t>mini</w:t>
            </w:r>
          </w:p>
        </w:tc>
        <w:tc>
          <w:tcPr>
            <w:tcW w:w="884" w:type="dxa"/>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b/>
                <w:bCs/>
                <w:color w:val="FFFFFF"/>
                <w:sz w:val="20"/>
                <w:szCs w:val="20"/>
              </w:rPr>
              <w:t>maxi</w:t>
            </w:r>
          </w:p>
        </w:tc>
        <w:tc>
          <w:tcPr>
            <w:tcW w:w="837" w:type="dxa"/>
            <w:vMerge w:val="continue"/>
            <w:tcBorders>
              <w:right w:val="single" w:sz="8" w:space="0" w:color="000000"/>
              <w:insideV w:val="single" w:sz="8" w:space="0" w:color="000000"/>
            </w:tcBorders>
            <w:shd w:fill="7030A0" w:val="clear"/>
            <w:tcMar>
              <w:left w:w="0" w:type="dxa"/>
              <w:right w:w="0" w:type="dxa"/>
            </w:tcMar>
            <w:vAlign w:val="center"/>
          </w:tcPr>
          <w:p>
            <w:pPr>
              <w:pStyle w:val="Normal"/>
              <w:snapToGrid w:val="false"/>
              <w:jc w:val="center"/>
              <w:rPr>
                <w:rFonts w:ascii="Calibri" w:hAnsi="Calibri" w:cs="Calibri"/>
                <w:color w:val="FFFFFF"/>
                <w:sz w:val="20"/>
                <w:szCs w:val="20"/>
              </w:rPr>
            </w:pPr>
            <w:r>
              <w:rPr>
                <w:rFonts w:cs="Calibri" w:ascii="Calibri" w:hAnsi="Calibri"/>
                <w:color w:val="FFFFFF"/>
                <w:sz w:val="20"/>
                <w:szCs w:val="20"/>
              </w:rPr>
            </w:r>
          </w:p>
        </w:tc>
      </w:tr>
      <w:tr>
        <w:trPr>
          <w:trHeight w:val="238" w:hRule="atLeast"/>
        </w:trPr>
        <w:tc>
          <w:tcPr>
            <w:tcW w:w="1388" w:type="dxa"/>
            <w:tcBorders>
              <w:bottom w:val="single" w:sz="8" w:space="0" w:color="000000"/>
              <w:insideH w:val="single" w:sz="8" w:space="0" w:color="000000"/>
            </w:tcBorders>
            <w:shd w:fill="D9D9D9" w:val="clear"/>
            <w:vAlign w:val="center"/>
          </w:tcPr>
          <w:p>
            <w:pPr>
              <w:pStyle w:val="Normal"/>
              <w:jc w:val="center"/>
              <w:rPr>
                <w:rFonts w:ascii="Calibri" w:hAnsi="Calibri" w:cs="Calibri"/>
                <w:sz w:val="20"/>
                <w:szCs w:val="20"/>
              </w:rPr>
            </w:pPr>
            <w:r>
              <w:rPr>
                <w:rFonts w:cs="Calibri" w:ascii="Calibri" w:hAnsi="Calibri"/>
                <w:sz w:val="20"/>
                <w:szCs w:val="20"/>
              </w:rPr>
              <w:t>Officer</w:t>
            </w:r>
          </w:p>
        </w:tc>
        <w:tc>
          <w:tcPr>
            <w:tcW w:w="783"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947"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500</w:t>
            </w:r>
          </w:p>
        </w:tc>
        <w:tc>
          <w:tcPr>
            <w:tcW w:w="961"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2 500</w:t>
            </w:r>
          </w:p>
        </w:tc>
        <w:tc>
          <w:tcPr>
            <w:tcW w:w="1024"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2 500</w:t>
            </w:r>
          </w:p>
        </w:tc>
        <w:tc>
          <w:tcPr>
            <w:tcW w:w="884"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3 500</w:t>
            </w:r>
          </w:p>
        </w:tc>
        <w:tc>
          <w:tcPr>
            <w:tcW w:w="817"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4 000</w:t>
            </w:r>
          </w:p>
        </w:tc>
      </w:tr>
      <w:tr>
        <w:trPr>
          <w:trHeight w:val="238" w:hRule="atLeast"/>
        </w:trPr>
        <w:tc>
          <w:tcPr>
            <w:tcW w:w="1388" w:type="dxa"/>
            <w:tcBorders>
              <w:top w:val="single" w:sz="8" w:space="0" w:color="000000"/>
              <w:bottom w:val="single" w:sz="8" w:space="0" w:color="000000"/>
              <w:insideH w:val="single" w:sz="8" w:space="0" w:color="000000"/>
            </w:tcBorders>
            <w:shd w:fill="auto" w:val="clear"/>
            <w:vAlign w:val="center"/>
          </w:tcPr>
          <w:p>
            <w:pPr>
              <w:pStyle w:val="Normal"/>
              <w:jc w:val="center"/>
              <w:rPr>
                <w:rFonts w:ascii="Calibri" w:hAnsi="Calibri" w:cs="Calibri"/>
                <w:sz w:val="20"/>
                <w:szCs w:val="20"/>
              </w:rPr>
            </w:pPr>
            <w:r>
              <w:rPr>
                <w:rFonts w:cs="Calibri" w:ascii="Calibri" w:hAnsi="Calibri"/>
                <w:sz w:val="20"/>
                <w:szCs w:val="20"/>
              </w:rPr>
              <w:t>Advisor</w:t>
            </w:r>
          </w:p>
        </w:tc>
        <w:tc>
          <w:tcPr>
            <w:tcW w:w="783"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947"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2 000</w:t>
            </w:r>
          </w:p>
        </w:tc>
        <w:tc>
          <w:tcPr>
            <w:tcW w:w="961"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3 500</w:t>
            </w:r>
          </w:p>
        </w:tc>
        <w:tc>
          <w:tcPr>
            <w:tcW w:w="1024"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3 500</w:t>
            </w:r>
          </w:p>
        </w:tc>
        <w:tc>
          <w:tcPr>
            <w:tcW w:w="884"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4 500</w:t>
            </w:r>
          </w:p>
        </w:tc>
        <w:tc>
          <w:tcPr>
            <w:tcW w:w="817"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5 000</w:t>
            </w:r>
          </w:p>
        </w:tc>
      </w:tr>
      <w:tr>
        <w:trPr>
          <w:trHeight w:val="238" w:hRule="atLeast"/>
        </w:trPr>
        <w:tc>
          <w:tcPr>
            <w:tcW w:w="1388" w:type="dxa"/>
            <w:tcBorders>
              <w:top w:val="single" w:sz="8" w:space="0" w:color="000000"/>
              <w:bottom w:val="single" w:sz="8" w:space="0" w:color="000000"/>
              <w:insideH w:val="single" w:sz="8" w:space="0" w:color="000000"/>
            </w:tcBorders>
            <w:shd w:fill="D9D9D9" w:val="clear"/>
            <w:vAlign w:val="center"/>
          </w:tcPr>
          <w:p>
            <w:pPr>
              <w:pStyle w:val="Normal"/>
              <w:jc w:val="center"/>
              <w:rPr>
                <w:rFonts w:ascii="Calibri" w:hAnsi="Calibri" w:cs="Calibri"/>
                <w:sz w:val="20"/>
                <w:szCs w:val="20"/>
              </w:rPr>
            </w:pPr>
            <w:r>
              <w:rPr>
                <w:rFonts w:cs="Calibri" w:ascii="Calibri" w:hAnsi="Calibri"/>
                <w:sz w:val="20"/>
                <w:szCs w:val="20"/>
              </w:rPr>
              <w:t>Advisor resp</w:t>
            </w:r>
          </w:p>
        </w:tc>
        <w:tc>
          <w:tcPr>
            <w:tcW w:w="783"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947"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3 500</w:t>
            </w:r>
          </w:p>
        </w:tc>
        <w:tc>
          <w:tcPr>
            <w:tcW w:w="961"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6 000</w:t>
            </w:r>
          </w:p>
        </w:tc>
        <w:tc>
          <w:tcPr>
            <w:tcW w:w="1024"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6 000</w:t>
            </w:r>
          </w:p>
        </w:tc>
        <w:tc>
          <w:tcPr>
            <w:tcW w:w="884"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7 000</w:t>
            </w:r>
          </w:p>
        </w:tc>
        <w:tc>
          <w:tcPr>
            <w:tcW w:w="817"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8 000</w:t>
            </w:r>
          </w:p>
        </w:tc>
      </w:tr>
      <w:tr>
        <w:trPr>
          <w:trHeight w:val="238" w:hRule="atLeast"/>
        </w:trPr>
        <w:tc>
          <w:tcPr>
            <w:tcW w:w="1388" w:type="dxa"/>
            <w:tcBorders>
              <w:top w:val="single" w:sz="8" w:space="0" w:color="000000"/>
              <w:bottom w:val="single" w:sz="8" w:space="0" w:color="000000"/>
              <w:insideH w:val="single" w:sz="8" w:space="0" w:color="000000"/>
            </w:tcBorders>
            <w:shd w:fill="auto" w:val="clear"/>
            <w:vAlign w:val="center"/>
          </w:tcPr>
          <w:p>
            <w:pPr>
              <w:pStyle w:val="Normal"/>
              <w:jc w:val="center"/>
              <w:rPr>
                <w:rFonts w:ascii="Calibri" w:hAnsi="Calibri" w:cs="Calibri"/>
                <w:sz w:val="20"/>
                <w:szCs w:val="20"/>
              </w:rPr>
            </w:pPr>
            <w:r>
              <w:rPr>
                <w:rFonts w:cs="Calibri" w:ascii="Calibri" w:hAnsi="Calibri"/>
                <w:sz w:val="20"/>
                <w:szCs w:val="20"/>
              </w:rPr>
              <w:t>Head of</w:t>
            </w:r>
          </w:p>
        </w:tc>
        <w:tc>
          <w:tcPr>
            <w:tcW w:w="783"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947"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6 000</w:t>
            </w:r>
          </w:p>
        </w:tc>
        <w:tc>
          <w:tcPr>
            <w:tcW w:w="961"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8 000</w:t>
            </w:r>
          </w:p>
        </w:tc>
        <w:tc>
          <w:tcPr>
            <w:tcW w:w="1024"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8 000</w:t>
            </w:r>
          </w:p>
        </w:tc>
        <w:tc>
          <w:tcPr>
            <w:tcW w:w="884"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10 000</w:t>
            </w:r>
          </w:p>
        </w:tc>
        <w:tc>
          <w:tcPr>
            <w:tcW w:w="817"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12 000</w:t>
            </w:r>
          </w:p>
        </w:tc>
      </w:tr>
      <w:tr>
        <w:trPr>
          <w:trHeight w:val="248" w:hRule="atLeast"/>
        </w:trPr>
        <w:tc>
          <w:tcPr>
            <w:tcW w:w="1388" w:type="dxa"/>
            <w:tcBorders>
              <w:top w:val="single" w:sz="8" w:space="0" w:color="000000"/>
            </w:tcBorders>
            <w:shd w:fill="D9D9D9" w:val="clear"/>
            <w:vAlign w:val="center"/>
          </w:tcPr>
          <w:p>
            <w:pPr>
              <w:pStyle w:val="Normal"/>
              <w:jc w:val="center"/>
              <w:rPr>
                <w:rFonts w:ascii="Calibri" w:hAnsi="Calibri" w:cs="Calibri"/>
                <w:sz w:val="20"/>
                <w:szCs w:val="20"/>
              </w:rPr>
            </w:pPr>
            <w:r>
              <w:rPr>
                <w:rFonts w:cs="Calibri" w:ascii="Calibri" w:hAnsi="Calibri"/>
                <w:sz w:val="20"/>
                <w:szCs w:val="20"/>
              </w:rPr>
              <w:t>Director</w:t>
            </w:r>
          </w:p>
        </w:tc>
        <w:tc>
          <w:tcPr>
            <w:tcW w:w="783" w:type="dxa"/>
            <w:tcBorders>
              <w:top w:val="single" w:sz="8" w:space="0" w:color="000000"/>
              <w:left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4633" w:type="dxa"/>
            <w:gridSpan w:val="5"/>
            <w:tcBorders>
              <w:top w:val="single" w:sz="8" w:space="0" w:color="000000"/>
              <w:left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discrétionnaire</w:t>
            </w:r>
          </w:p>
        </w:tc>
      </w:tr>
    </w:tbl>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r>
    </w:p>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r>
    </w:p>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t>REMUNERATION VARIABLE AU TITRE DE L’ANNEE 2022 PAYABLE EN 2023</w:t>
      </w:r>
    </w:p>
    <w:p>
      <w:pPr>
        <w:pStyle w:val="Paragraphedeliste"/>
        <w:tabs>
          <w:tab w:val="left" w:pos="284" w:leader="none"/>
        </w:tabs>
        <w:ind w:left="-426" w:right="-238" w:hanging="0"/>
        <w:jc w:val="both"/>
        <w:rPr>
          <w:rFonts w:ascii="Calibri" w:hAnsi="Calibri" w:cs="Calibri"/>
          <w:b/>
          <w:b/>
          <w:bCs/>
          <w:color w:val="000000"/>
          <w:sz w:val="20"/>
          <w:szCs w:val="20"/>
          <w:u w:val="single"/>
        </w:rPr>
      </w:pPr>
      <w:r>
        <w:rPr>
          <w:rFonts w:cs="Calibri"/>
          <w:b/>
          <w:bCs/>
          <w:color w:val="000000"/>
          <w:sz w:val="20"/>
          <w:szCs w:val="20"/>
          <w:u w:val="single"/>
        </w:rPr>
      </w:r>
    </w:p>
    <w:p>
      <w:pPr>
        <w:pStyle w:val="Paragraphedeliste"/>
        <w:tabs>
          <w:tab w:val="left" w:pos="-142" w:leader="none"/>
        </w:tabs>
        <w:ind w:left="-426" w:right="-238" w:hanging="0"/>
        <w:jc w:val="both"/>
        <w:rPr>
          <w:rFonts w:cs="Calibri"/>
          <w:i/>
          <w:i/>
          <w:color w:val="000000"/>
          <w:sz w:val="20"/>
          <w:szCs w:val="20"/>
        </w:rPr>
      </w:pPr>
      <w:r>
        <w:rPr>
          <w:rFonts w:cs="Calibri"/>
          <w:i/>
          <w:color w:val="000000"/>
          <w:sz w:val="20"/>
          <w:szCs w:val="20"/>
        </w:rPr>
        <w:t>Les principes ci-dessous édictés pour la population des consultants s’appliquent aux salariés de l’UES.</w:t>
      </w:r>
    </w:p>
    <w:p>
      <w:pPr>
        <w:pStyle w:val="Paragraphedeliste"/>
        <w:tabs>
          <w:tab w:val="left" w:pos="284" w:leader="none"/>
        </w:tabs>
        <w:ind w:left="-426" w:right="-238" w:hanging="0"/>
        <w:jc w:val="both"/>
        <w:rPr>
          <w:rFonts w:cs="Calibri"/>
          <w:i/>
          <w:i/>
          <w:color w:val="000000"/>
          <w:sz w:val="20"/>
          <w:szCs w:val="20"/>
        </w:rPr>
      </w:pPr>
      <w:r>
        <w:rPr>
          <w:rFonts w:cs="Calibri"/>
          <w:i/>
          <w:color w:val="000000"/>
          <w:sz w:val="20"/>
          <w:szCs w:val="20"/>
        </w:rPr>
      </w:r>
    </w:p>
    <w:p>
      <w:pPr>
        <w:pStyle w:val="Heading2"/>
        <w:keepLines/>
        <w:numPr>
          <w:ilvl w:val="2"/>
          <w:numId w:val="10"/>
        </w:numPr>
        <w:ind w:left="142" w:right="-238" w:hanging="568"/>
        <w:jc w:val="left"/>
        <w:rPr>
          <w:rFonts w:ascii="Calibri" w:hAnsi="Calibri" w:cs="Calibri"/>
          <w:color w:val="00B0F0"/>
          <w:sz w:val="20"/>
          <w:szCs w:val="20"/>
        </w:rPr>
      </w:pPr>
      <w:r>
        <w:rPr>
          <w:rFonts w:cs="Calibri" w:ascii="Calibri" w:hAnsi="Calibri"/>
          <w:color w:val="00B0F0"/>
          <w:sz w:val="20"/>
          <w:szCs w:val="20"/>
        </w:rPr>
        <w:t>Population Consultant</w:t>
      </w:r>
    </w:p>
    <w:p>
      <w:pPr>
        <w:pStyle w:val="Normal"/>
        <w:ind w:left="-426" w:right="-238" w:hanging="0"/>
        <w:rPr>
          <w:rFonts w:ascii="Calibri" w:hAnsi="Calibri" w:cs="Calibri"/>
          <w:color w:val="00B0F0"/>
          <w:sz w:val="20"/>
          <w:szCs w:val="20"/>
        </w:rPr>
      </w:pPr>
      <w:r>
        <w:rPr>
          <w:rFonts w:cs="Calibri" w:ascii="Calibri" w:hAnsi="Calibri"/>
          <w:color w:val="00B0F0"/>
          <w:sz w:val="20"/>
          <w:szCs w:val="20"/>
        </w:rPr>
      </w:r>
    </w:p>
    <w:p>
      <w:pPr>
        <w:pStyle w:val="Paragraphedeliste"/>
        <w:tabs>
          <w:tab w:val="left" w:pos="-142" w:leader="none"/>
        </w:tabs>
        <w:ind w:left="-426" w:right="-238" w:hanging="0"/>
        <w:jc w:val="both"/>
        <w:rPr>
          <w:rFonts w:cs="Calibri"/>
          <w:color w:val="000000"/>
          <w:sz w:val="20"/>
          <w:szCs w:val="20"/>
          <w:u w:val="single"/>
        </w:rPr>
      </w:pPr>
      <w:r>
        <w:rPr>
          <w:rFonts w:cs="Calibri"/>
          <w:color w:val="000000"/>
          <w:sz w:val="20"/>
          <w:szCs w:val="20"/>
          <w:u w:val="single"/>
        </w:rPr>
        <w:t xml:space="preserve"> </w:t>
      </w:r>
      <w:r>
        <w:rPr>
          <w:rFonts w:cs="Calibri"/>
          <w:color w:val="000000"/>
          <w:sz w:val="20"/>
          <w:szCs w:val="20"/>
          <w:u w:val="single"/>
        </w:rPr>
        <w:t xml:space="preserve">Principes du </w:t>
      </w:r>
      <w:bookmarkStart w:id="40" w:name="_Hlk505868510"/>
      <w:r>
        <w:rPr>
          <w:rFonts w:cs="Calibri"/>
          <w:color w:val="000000"/>
          <w:sz w:val="20"/>
          <w:szCs w:val="20"/>
          <w:u w:val="single"/>
        </w:rPr>
        <w:t>variable 2022 payable en 20</w:t>
      </w:r>
      <w:bookmarkEnd w:id="40"/>
      <w:r>
        <w:rPr>
          <w:rFonts w:cs="Calibri"/>
          <w:color w:val="000000"/>
          <w:sz w:val="20"/>
          <w:szCs w:val="20"/>
          <w:u w:val="single"/>
        </w:rPr>
        <w:t>23</w:t>
      </w:r>
    </w:p>
    <w:p>
      <w:pPr>
        <w:pStyle w:val="Paragraphedeliste"/>
        <w:tabs>
          <w:tab w:val="left" w:pos="-142" w:leader="none"/>
        </w:tabs>
        <w:ind w:left="-426" w:right="-238" w:hanging="0"/>
        <w:jc w:val="both"/>
        <w:rPr>
          <w:rFonts w:cs="Calibri"/>
          <w:color w:val="000000"/>
          <w:sz w:val="20"/>
          <w:szCs w:val="20"/>
          <w:u w:val="single"/>
        </w:rPr>
      </w:pPr>
      <w:bookmarkStart w:id="41" w:name="_Hlk31641615"/>
      <w:bookmarkStart w:id="42" w:name="_Hlk31641615"/>
      <w:bookmarkEnd w:id="42"/>
      <w:r>
        <w:rPr>
          <w:rFonts w:cs="Calibri"/>
          <w:color w:val="000000"/>
          <w:sz w:val="20"/>
          <w:szCs w:val="20"/>
          <w:u w:val="single"/>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L’enveloppe de variable 2022 versée en 2023 sera appréciée aux bornes de l’UES composées des sociétés BearingPoint, Hypercube Research et Arcwide.</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Cependant, à ce jour, seuls les EBIT prévisionnels des sociétés BearingPoint et Hypercube Research sont déterminés et estimés à hauteur de 20M€, générant ainsi une enveloppe de variable de 4,3M€, charges patronales comprises, selon la courbe ci-après. Le montant d’EBIT réel 2022 d’Arcwide sera bien pris en compte dans la détermination de l’enveloppe de variable de l’UES, conformément à la courbe habituellement appliquée.</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L’enveloppe de variable qui sera générée par l’EBIT de l’UES effectivement réalisé en 2022 sera distribuée aux salariés de l’UES en 2023.</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Normal"/>
        <w:tabs>
          <w:tab w:val="left" w:pos="-142" w:leader="none"/>
        </w:tabs>
        <w:ind w:left="-426" w:right="-238" w:hanging="0"/>
        <w:jc w:val="both"/>
        <w:rPr>
          <w:rFonts w:ascii="Calibri" w:hAnsi="Calibri" w:eastAsia="Calibri" w:cs="Calibri"/>
          <w:color w:val="000000"/>
          <w:sz w:val="20"/>
          <w:szCs w:val="20"/>
        </w:rPr>
      </w:pPr>
      <w:bookmarkStart w:id="43" w:name="_Hlk31641615"/>
      <w:bookmarkEnd w:id="43"/>
      <w:r>
        <w:rPr>
          <w:rFonts w:eastAsia="Calibri" w:cs="Calibri" w:ascii="Calibri" w:hAnsi="Calibri"/>
          <w:color w:val="000000"/>
          <w:sz w:val="20"/>
          <w:szCs w:val="20"/>
        </w:rPr>
        <w:drawing>
          <wp:inline distT="0" distB="0" distL="0" distR="0">
            <wp:extent cx="5516245" cy="3223260"/>
            <wp:effectExtent l="0" t="0" r="0" b="0"/>
            <wp:docPr id="1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3" descr=""/>
                    <pic:cNvPicPr>
                      <a:picLocks noChangeAspect="1" noChangeArrowheads="1"/>
                    </pic:cNvPicPr>
                  </pic:nvPicPr>
                  <pic:blipFill>
                    <a:blip r:embed="rId15"/>
                    <a:srcRect l="-3" t="-4" r="-3" b="-4"/>
                    <a:stretch>
                      <a:fillRect/>
                    </a:stretch>
                  </pic:blipFill>
                  <pic:spPr bwMode="auto">
                    <a:xfrm>
                      <a:off x="0" y="0"/>
                      <a:ext cx="5516245" cy="3223260"/>
                    </a:xfrm>
                    <a:prstGeom prst="rect">
                      <a:avLst/>
                    </a:prstGeom>
                  </pic:spPr>
                </pic:pic>
              </a:graphicData>
            </a:graphic>
          </wp:inline>
        </w:drawing>
      </w:r>
      <w:r>
        <mc:AlternateContent>
          <mc:Choice Requires="wps">
            <w:drawing>
              <wp:anchor behindDoc="0" distT="0" distB="0" distL="114935" distR="114935" simplePos="0" locked="0" layoutInCell="1" allowOverlap="1" relativeHeight="66">
                <wp:simplePos x="0" y="0"/>
                <wp:positionH relativeFrom="column">
                  <wp:posOffset>5268595</wp:posOffset>
                </wp:positionH>
                <wp:positionV relativeFrom="paragraph">
                  <wp:posOffset>16510</wp:posOffset>
                </wp:positionV>
                <wp:extent cx="1127760" cy="588010"/>
                <wp:effectExtent l="0" t="0" r="0" b="0"/>
                <wp:wrapNone/>
                <wp:docPr id="15" name="Frame1"/>
                <a:graphic xmlns:a="http://schemas.openxmlformats.org/drawingml/2006/main">
                  <a:graphicData uri="http://schemas.microsoft.com/office/word/2010/wordprocessingShape">
                    <wps:wsp>
                      <wps:cNvSpPr txBox="1"/>
                      <wps:spPr>
                        <a:xfrm>
                          <a:off x="0" y="0"/>
                          <a:ext cx="1127760" cy="588010"/>
                        </a:xfrm>
                        <a:prstGeom prst="rect"/>
                        <a:solidFill>
                          <a:srgbClr val="FFFFFF">
                            <a:alpha val="0"/>
                          </a:srgbClr>
                        </a:solidFill>
                      </wps:spPr>
                      <wps:txbx>
                        <w:txbxContent>
                          <w:p>
                            <w:pPr>
                              <w:pStyle w:val="Normal"/>
                              <w:rPr>
                                <w:rFonts w:ascii="Calibri" w:hAnsi="Calibri" w:cs="Calibri"/>
                                <w:color w:val="000000"/>
                                <w:sz w:val="16"/>
                                <w:szCs w:val="16"/>
                              </w:rPr>
                            </w:pPr>
                            <w:r>
                              <w:rPr>
                                <w:rFonts w:cs="Calibri" w:ascii="Calibri" w:hAnsi="Calibri"/>
                                <w:color w:val="000000"/>
                                <w:sz w:val="16"/>
                                <w:szCs w:val="16"/>
                              </w:rPr>
                              <w:t>*EBIT prévisionnel de BearingPoint et Hypercube Research – hors Arcwide</w:t>
                            </w:r>
                          </w:p>
                        </w:txbxContent>
                      </wps:txbx>
                      <wps:bodyPr anchor="t" lIns="92075" tIns="46355" rIns="92075" bIns="46355">
                        <a:spAutoFit/>
                      </wps:bodyPr>
                    </wps:wsp>
                  </a:graphicData>
                </a:graphic>
              </wp:anchor>
            </w:drawing>
          </mc:Choice>
          <mc:Fallback>
            <w:pict>
              <v:rect fillcolor="#FFFFFF" style="position:absolute;rotation:0;width:88.8pt;height:46.3pt;mso-wrap-distance-left:9.05pt;mso-wrap-distance-right:9.05pt;margin-top:1.3pt;mso-position-vertical-relative:text;margin-left:414.85pt;mso-position-horizontal-relative:text">
                <v:fill opacity="0f"/>
                <v:textbox inset="0.100694444444444in,0.0506944444444444in,0.100694444444444in,0.0506944444444444in">
                  <w:txbxContent>
                    <w:p>
                      <w:pPr>
                        <w:pStyle w:val="Normal"/>
                        <w:rPr>
                          <w:rFonts w:ascii="Calibri" w:hAnsi="Calibri" w:cs="Calibri"/>
                          <w:color w:val="000000"/>
                          <w:sz w:val="16"/>
                          <w:szCs w:val="16"/>
                        </w:rPr>
                      </w:pPr>
                      <w:r>
                        <w:rPr>
                          <w:rFonts w:cs="Calibri" w:ascii="Calibri" w:hAnsi="Calibri"/>
                          <w:color w:val="000000"/>
                          <w:sz w:val="16"/>
                          <w:szCs w:val="16"/>
                        </w:rPr>
                        <w:t>*EBIT prévisionnel de BearingPoint et Hypercube Research – hors Arcwide</w:t>
                      </w:r>
                    </w:p>
                  </w:txbxContent>
                </v:textbox>
              </v:rect>
            </w:pict>
          </mc:Fallback>
        </mc:AlternateContent>
      </w:r>
    </w:p>
    <w:p>
      <w:pPr>
        <w:pStyle w:val="Paragraphedeliste"/>
        <w:tabs>
          <w:tab w:val="left" w:pos="-142" w:leader="none"/>
        </w:tabs>
        <w:ind w:left="-426" w:right="-238" w:hanging="0"/>
        <w:jc w:val="both"/>
        <w:rPr>
          <w:rFonts w:ascii="Calibri" w:hAnsi="Calibri" w:eastAsia="Calibri" w:cs="Calibri"/>
          <w:color w:val="000000"/>
          <w:sz w:val="20"/>
          <w:szCs w:val="20"/>
          <w:u w:val="single"/>
        </w:rPr>
      </w:pPr>
      <w:r>
        <w:rPr>
          <w:rFonts w:eastAsia="Calibri" w:cs="Calibri"/>
          <w:color w:val="000000"/>
          <w:sz w:val="20"/>
          <w:szCs w:val="20"/>
          <w:u w:val="single"/>
        </w:rPr>
      </w:r>
    </w:p>
    <w:p>
      <w:pPr>
        <w:pStyle w:val="Paragraphedeliste"/>
        <w:tabs>
          <w:tab w:val="left" w:pos="-142" w:leader="none"/>
        </w:tabs>
        <w:ind w:left="-426" w:right="-238" w:hanging="0"/>
        <w:jc w:val="both"/>
        <w:rPr>
          <w:rFonts w:cs="Calibri"/>
          <w:color w:val="000000"/>
          <w:sz w:val="20"/>
          <w:szCs w:val="20"/>
          <w:u w:val="single"/>
        </w:rPr>
      </w:pPr>
      <w:r>
        <w:rPr>
          <w:rFonts w:cs="Calibri"/>
          <w:color w:val="000000"/>
          <w:sz w:val="20"/>
          <w:szCs w:val="20"/>
          <w:u w:val="single"/>
        </w:rPr>
        <w:t>Critères de variable 2022</w:t>
      </w:r>
    </w:p>
    <w:p>
      <w:pPr>
        <w:pStyle w:val="Paragraphedeliste"/>
        <w:tabs>
          <w:tab w:val="left" w:pos="284" w:leader="none"/>
        </w:tabs>
        <w:ind w:left="-426" w:right="-238" w:hanging="0"/>
        <w:jc w:val="both"/>
        <w:rPr>
          <w:rFonts w:cs="Calibri"/>
          <w:b/>
          <w:b/>
          <w:iCs/>
          <w:color w:val="7030A0"/>
          <w:sz w:val="20"/>
          <w:szCs w:val="20"/>
          <w:u w:val="single"/>
        </w:rPr>
      </w:pPr>
      <w:r>
        <w:rPr>
          <w:rFonts w:cs="Calibri"/>
          <w:b/>
          <w:iCs/>
          <w:color w:val="7030A0"/>
          <w:sz w:val="20"/>
          <w:szCs w:val="20"/>
          <w:u w:val="single"/>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Les critères de variable 2022 sont identiques à ceux de 2021 pour tous les grades.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sz w:val="20"/>
          <w:szCs w:val="20"/>
        </w:rPr>
      </w:pPr>
      <w:r>
        <w:rPr>
          <w:sz w:val="20"/>
          <w:szCs w:val="20"/>
        </w:rPr>
        <w:t>Pour les grades Manager à Director et pour les Experts, la note de performance globale résulte de la combinaison des 2 notes (HOW individuels et WHAT collectifs) sous réserve de l’atteinte de Minimum Contributions :</w:t>
      </w:r>
    </w:p>
    <w:p>
      <w:pPr>
        <w:pStyle w:val="Paragraphedeliste"/>
        <w:tabs>
          <w:tab w:val="left" w:pos="284" w:leader="none"/>
        </w:tabs>
        <w:ind w:left="-993" w:right="-805" w:hanging="0"/>
        <w:jc w:val="both"/>
        <w:rPr>
          <w:lang w:val="en-GB" w:eastAsia="en-GB"/>
        </w:rPr>
      </w:pPr>
      <w:r>
        <w:rPr>
          <w:lang w:val="en-GB" w:eastAsia="en-GB"/>
        </w:rPr>
        <w:drawing>
          <wp:inline distT="0" distB="0" distL="0" distR="0">
            <wp:extent cx="6566535" cy="3699510"/>
            <wp:effectExtent l="0" t="0" r="0" b="0"/>
            <wp:docPr id="16" name="Graphiqu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que 1" descr=""/>
                    <pic:cNvPicPr>
                      <a:picLocks noChangeAspect="1" noChangeArrowheads="1"/>
                    </pic:cNvPicPr>
                  </pic:nvPicPr>
                  <pic:blipFill>
                    <a:blip r:embed="rId16"/>
                    <a:srcRect l="-6" t="-11" r="-6" b="-34"/>
                    <a:stretch>
                      <a:fillRect/>
                    </a:stretch>
                  </pic:blipFill>
                  <pic:spPr bwMode="auto">
                    <a:xfrm>
                      <a:off x="0" y="0"/>
                      <a:ext cx="6566535" cy="3699510"/>
                    </a:xfrm>
                    <a:prstGeom prst="rect">
                      <a:avLst/>
                    </a:prstGeom>
                  </pic:spPr>
                </pic:pic>
              </a:graphicData>
            </a:graphic>
          </wp:inline>
        </w:drawing>
      </w:r>
      <w:r>
        <w:rPr>
          <w:lang w:val="en-GB" w:eastAsia="en-GB"/>
        </w:rPr>
        <w:t xml:space="preserve"> </w:t>
      </w:r>
    </w:p>
    <w:p>
      <w:pPr>
        <w:pStyle w:val="Paragraphedeliste"/>
        <w:tabs>
          <w:tab w:val="left" w:pos="284" w:leader="none"/>
        </w:tabs>
        <w:ind w:left="-993" w:right="-805" w:hanging="0"/>
        <w:jc w:val="both"/>
        <w:rPr>
          <w:lang w:val="en-GB" w:eastAsia="en-GB"/>
        </w:rPr>
      </w:pPr>
      <w:r>
        <w:rPr>
          <w:lang w:val="en-GB" w:eastAsia="en-GB"/>
        </w:rPr>
      </w:r>
    </w:p>
    <w:p>
      <w:pPr>
        <w:pStyle w:val="Paragraphedeliste"/>
        <w:tabs>
          <w:tab w:val="left" w:pos="284" w:leader="none"/>
        </w:tabs>
        <w:ind w:left="-993" w:right="-805" w:hanging="0"/>
        <w:jc w:val="both"/>
        <w:rPr>
          <w:sz w:val="20"/>
          <w:szCs w:val="20"/>
        </w:rPr>
      </w:pPr>
      <w:r>
        <w:rPr>
          <w:lang w:val="en-GB" w:eastAsia="en-GB"/>
        </w:rPr>
        <w:drawing>
          <wp:inline distT="0" distB="0" distL="0" distR="0">
            <wp:extent cx="6518910" cy="358965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7"/>
                    <a:srcRect l="-3" t="-5" r="-3" b="-5"/>
                    <a:stretch>
                      <a:fillRect/>
                    </a:stretch>
                  </pic:blipFill>
                  <pic:spPr bwMode="auto">
                    <a:xfrm>
                      <a:off x="0" y="0"/>
                      <a:ext cx="6518910" cy="3589655"/>
                    </a:xfrm>
                    <a:prstGeom prst="rect">
                      <a:avLst/>
                    </a:prstGeom>
                  </pic:spPr>
                </pic:pic>
              </a:graphicData>
            </a:graphic>
          </wp:inline>
        </w:drawing>
      </w:r>
    </w:p>
    <w:p>
      <w:pPr>
        <w:pStyle w:val="Paragraphedeliste"/>
        <w:tabs>
          <w:tab w:val="left" w:pos="284" w:leader="none"/>
        </w:tabs>
        <w:ind w:left="-426" w:right="-238" w:hanging="0"/>
        <w:jc w:val="both"/>
        <w:rPr>
          <w:sz w:val="20"/>
          <w:szCs w:val="20"/>
          <w:lang w:val="en-GB" w:eastAsia="en-GB"/>
        </w:rPr>
      </w:pPr>
      <w:r>
        <w:rPr>
          <w:sz w:val="20"/>
          <w:szCs w:val="20"/>
          <w:lang w:val="en-GB" w:eastAsia="en-GB"/>
        </w:rPr>
      </w:r>
    </w:p>
    <w:p>
      <w:pPr>
        <w:pStyle w:val="Paragraphedeliste"/>
        <w:tabs>
          <w:tab w:val="left" w:pos="284" w:leader="none"/>
        </w:tabs>
        <w:ind w:left="-426" w:right="-238" w:hanging="0"/>
        <w:jc w:val="both"/>
        <w:rPr>
          <w:sz w:val="20"/>
          <w:szCs w:val="20"/>
          <w:lang w:val="en-GB" w:eastAsia="en-GB"/>
        </w:rPr>
      </w:pPr>
      <w:r>
        <w:rPr>
          <w:sz w:val="20"/>
          <w:szCs w:val="20"/>
          <w:lang w:val="en-GB" w:eastAsia="en-GB"/>
        </w:rPr>
      </w:r>
    </w:p>
    <w:p>
      <w:pPr>
        <w:pStyle w:val="Heading2"/>
        <w:keepLines/>
        <w:numPr>
          <w:ilvl w:val="2"/>
          <w:numId w:val="10"/>
        </w:numPr>
        <w:ind w:left="142" w:right="-238" w:hanging="568"/>
        <w:jc w:val="left"/>
        <w:rPr>
          <w:rFonts w:ascii="Calibri" w:hAnsi="Calibri" w:cs="Calibri"/>
          <w:color w:val="00B0F0"/>
          <w:sz w:val="20"/>
          <w:szCs w:val="20"/>
        </w:rPr>
      </w:pPr>
      <w:r>
        <w:rPr>
          <w:rFonts w:cs="Calibri" w:ascii="Calibri" w:hAnsi="Calibri"/>
          <w:color w:val="00B0F0"/>
          <w:sz w:val="20"/>
          <w:szCs w:val="20"/>
        </w:rPr>
        <w:t>Population Support</w:t>
      </w:r>
    </w:p>
    <w:p>
      <w:pPr>
        <w:pStyle w:val="Normal"/>
        <w:ind w:left="-426" w:right="-238" w:hanging="0"/>
        <w:rPr>
          <w:rFonts w:ascii="Calibri" w:hAnsi="Calibri" w:cs="Calibri"/>
          <w:color w:val="00B0F0"/>
          <w:sz w:val="20"/>
          <w:szCs w:val="20"/>
        </w:rPr>
      </w:pPr>
      <w:r>
        <w:rPr>
          <w:rFonts w:cs="Calibri" w:ascii="Calibri" w:hAnsi="Calibri"/>
          <w:color w:val="00B0F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 montant de l’enveloppe de variable de la population Support reste fonction de la part des effectifs supports (niveaux 1 à 4 - infra + assistantes) au 31 décembre de l’année sur les effectifs consultants (hors Partners).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 xml:space="preserve">Le critère principal permettant de déterminer l’attribution du bonus est la performance, appréciée par la note de performance. </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Normal"/>
        <w:ind w:left="-426" w:right="-238" w:hanging="0"/>
        <w:jc w:val="both"/>
        <w:rPr>
          <w:rFonts w:ascii="Calibri" w:hAnsi="Calibri" w:cs="Calibri"/>
          <w:b/>
          <w:b/>
          <w:bCs/>
          <w:color w:val="000000"/>
          <w:sz w:val="20"/>
          <w:szCs w:val="20"/>
          <w:u w:val="single"/>
        </w:rPr>
      </w:pPr>
      <w:r>
        <w:rPr>
          <w:rFonts w:cs="Calibri" w:ascii="Calibri" w:hAnsi="Calibri"/>
          <w:b/>
          <w:bCs/>
          <w:color w:val="000000"/>
          <w:sz w:val="20"/>
          <w:szCs w:val="20"/>
          <w:u w:val="single"/>
        </w:rPr>
      </w:r>
    </w:p>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t>LONG TERM INCENTIVE PLAN (LTIP) – programme 2022-2025</w:t>
      </w:r>
    </w:p>
    <w:p>
      <w:pPr>
        <w:pStyle w:val="Paragraphedeliste"/>
        <w:tabs>
          <w:tab w:val="left" w:pos="284" w:leader="none"/>
        </w:tabs>
        <w:ind w:left="-426" w:right="-238" w:hanging="0"/>
        <w:jc w:val="both"/>
        <w:rPr>
          <w:rFonts w:ascii="Calibri" w:hAnsi="Calibri" w:cs="Calibri"/>
          <w:b/>
          <w:b/>
          <w:bCs/>
          <w:color w:val="000000"/>
          <w:sz w:val="20"/>
          <w:szCs w:val="20"/>
          <w:u w:val="single"/>
          <w:lang w:val="en-US"/>
        </w:rPr>
      </w:pPr>
      <w:r>
        <w:rPr>
          <w:rFonts w:cs="Calibri"/>
          <w:b/>
          <w:bCs/>
          <w:color w:val="000000"/>
          <w:sz w:val="20"/>
          <w:szCs w:val="20"/>
          <w:u w:val="single"/>
          <w:lang w:val="en-US"/>
        </w:rPr>
      </w:r>
    </w:p>
    <w:p>
      <w:pPr>
        <w:pStyle w:val="Paragraphedeliste"/>
        <w:tabs>
          <w:tab w:val="left" w:pos="284" w:leader="none"/>
        </w:tabs>
        <w:ind w:left="-426" w:right="-238" w:hanging="0"/>
        <w:jc w:val="both"/>
        <w:rPr/>
      </w:pPr>
      <w:r>
        <w:rPr>
          <w:rFonts w:cs="Calibri"/>
          <w:color w:val="000000"/>
          <w:sz w:val="20"/>
          <w:szCs w:val="20"/>
        </w:rPr>
        <w:t>Le « Long Term Incentive Plan » (plan d’incitation à long terme) est un outil de rémunération supplémentaire destiné à avoir un effet positif sur la fidélisation d’une partie du personnel de BearingPoint.</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Sa mise en place, reportée d’une année du fait de la crise sanitaire, a démarré en 2021 et a été reconduit pour l’année 2022.</w:t>
      </w:r>
    </w:p>
    <w:p>
      <w:pPr>
        <w:pStyle w:val="Paragraphedeliste"/>
        <w:tabs>
          <w:tab w:val="left" w:pos="284" w:leader="none"/>
        </w:tabs>
        <w:ind w:left="-426" w:right="-238" w:hanging="0"/>
        <w:jc w:val="both"/>
        <w:rPr>
          <w:rFonts w:cs="Calibri"/>
          <w:color w:val="000000"/>
          <w:sz w:val="20"/>
          <w:szCs w:val="20"/>
        </w:rPr>
      </w:pPr>
      <w:r>
        <w:rPr>
          <w:lang w:val="en-GB" w:eastAsia="en-GB"/>
        </w:rPr>
        <w:drawing>
          <wp:inline distT="0" distB="0" distL="0" distR="0">
            <wp:extent cx="5514975" cy="309118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8"/>
                    <a:srcRect l="-2" t="-5" r="-2" b="-5"/>
                    <a:stretch>
                      <a:fillRect/>
                    </a:stretch>
                  </pic:blipFill>
                  <pic:spPr bwMode="auto">
                    <a:xfrm>
                      <a:off x="0" y="0"/>
                      <a:ext cx="5514975" cy="3091180"/>
                    </a:xfrm>
                    <a:prstGeom prst="rect">
                      <a:avLst/>
                    </a:prstGeom>
                  </pic:spPr>
                </pic:pic>
              </a:graphicData>
            </a:graphic>
          </wp:inline>
        </w:drawing>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 LTIP, d’une durée de 3 ans et dont les modalités sont décidées à l’échelle du groupe, concerne la population « Consultants » pour les grades Analyst à Manager (équipes conseil, BBS et Capital M&amp;A) ayant a minima obtenu la notation GP en mars 2022 au titre de leur évaluation annuelle 2021.</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lang w:val="en-GB" w:eastAsia="en-GB"/>
        </w:rPr>
        <w:drawing>
          <wp:inline distT="0" distB="0" distL="0" distR="0">
            <wp:extent cx="5514975" cy="3098165"/>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19"/>
                    <a:srcRect l="-2" t="-5" r="-2" b="-5"/>
                    <a:stretch>
                      <a:fillRect/>
                    </a:stretch>
                  </pic:blipFill>
                  <pic:spPr bwMode="auto">
                    <a:xfrm>
                      <a:off x="0" y="0"/>
                      <a:ext cx="5514975" cy="3098165"/>
                    </a:xfrm>
                    <a:prstGeom prst="rect">
                      <a:avLst/>
                    </a:prstGeom>
                  </pic:spPr>
                </pic:pic>
              </a:graphicData>
            </a:graphic>
          </wp:inline>
        </w:drawing>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Les objectifs du LTIP sont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d’avoir un effet positif sur la rétention du personnel</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d’offrir aux salariés éligibles un avantage supplémentaire pour leur fidélité à l'entreprise</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d’encourager les salariés à construire une carrière durable chez BearingPoint, Hypercube et Arcwide</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Le financement du LTIP se fera au niveau du groupe et l’enveloppe sera répartie de manière égale entre tous les salariés éligibles conformément au coefficient déterminé pour chaque pays.</w:t>
      </w:r>
    </w:p>
    <w:p>
      <w:pPr>
        <w:pStyle w:val="Normal"/>
        <w:ind w:left="-426" w:right="-238" w:hanging="0"/>
        <w:jc w:val="both"/>
        <w:rPr>
          <w:lang w:val="en-US" w:eastAsia="en-GB"/>
        </w:rPr>
      </w:pPr>
      <w:r>
        <w:rPr>
          <w:lang w:val="en-GB" w:eastAsia="en-GB"/>
        </w:rPr>
        <w:drawing>
          <wp:inline distT="0" distB="0" distL="0" distR="0">
            <wp:extent cx="5514975" cy="3099435"/>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0"/>
                    <a:srcRect l="-2" t="-5" r="-2" b="-5"/>
                    <a:stretch>
                      <a:fillRect/>
                    </a:stretch>
                  </pic:blipFill>
                  <pic:spPr bwMode="auto">
                    <a:xfrm>
                      <a:off x="0" y="0"/>
                      <a:ext cx="5514975" cy="3099435"/>
                    </a:xfrm>
                    <a:prstGeom prst="rect">
                      <a:avLst/>
                    </a:prstGeom>
                  </pic:spPr>
                </pic:pic>
              </a:graphicData>
            </a:graphic>
          </wp:inline>
        </w:drawing>
      </w:r>
    </w:p>
    <w:p>
      <w:pPr>
        <w:pStyle w:val="Normal"/>
        <w:ind w:left="-426" w:right="-238" w:hanging="0"/>
        <w:jc w:val="both"/>
        <w:rPr>
          <w:rFonts w:ascii="Calibri" w:hAnsi="Calibri" w:cs="Calibri"/>
          <w:color w:val="000000"/>
          <w:sz w:val="20"/>
          <w:szCs w:val="20"/>
          <w:lang w:val="en-US" w:eastAsia="en-GB"/>
        </w:rPr>
      </w:pPr>
      <w:r>
        <w:rPr>
          <w:rFonts w:cs="Calibri" w:ascii="Calibri" w:hAnsi="Calibri"/>
          <w:color w:val="000000"/>
          <w:sz w:val="20"/>
          <w:szCs w:val="20"/>
          <w:lang w:val="en-US" w:eastAsia="en-GB"/>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2 - DEPLACEMENTS</w:t>
      </w:r>
    </w:p>
    <w:p>
      <w:pPr>
        <w:pStyle w:val="Paragraphedeliste"/>
        <w:tabs>
          <w:tab w:val="left" w:pos="-142" w:leader="none"/>
        </w:tabs>
        <w:ind w:left="-426" w:right="-238" w:hanging="0"/>
        <w:jc w:val="both"/>
        <w:rPr>
          <w:rFonts w:ascii="Calibri" w:hAnsi="Calibri" w:cs="Calibri"/>
          <w:b/>
          <w:b/>
          <w:color w:val="000000"/>
          <w:sz w:val="20"/>
          <w:szCs w:val="20"/>
          <w:u w:val="single"/>
        </w:rPr>
      </w:pPr>
      <w:r>
        <w:rPr>
          <w:rFonts w:cs="Calibri"/>
          <w:b/>
          <w:color w:val="000000"/>
          <w:sz w:val="20"/>
          <w:szCs w:val="20"/>
          <w:u w:val="single"/>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Les déplacements de ces 2 dernières années se sont considérablement réduits du fait du contexte épidémique et la crise sanitaire a transformé structurellement les modes de travail, favorisant plus de travail en mode distanciel.</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Ainsi, les modalités de récupération du temps de déplacement et montant de primes de déplacement restent inchangés pour 2022.</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3 – AUTRES PRIMES</w:t>
      </w:r>
    </w:p>
    <w:p>
      <w:pPr>
        <w:pStyle w:val="Normal"/>
        <w:ind w:left="-426" w:right="-238" w:hanging="0"/>
        <w:jc w:val="both"/>
        <w:rPr>
          <w:rFonts w:ascii="Calibri" w:hAnsi="Calibri" w:cs="Calibri"/>
          <w:b/>
          <w:b/>
          <w:color w:val="000000"/>
          <w:sz w:val="20"/>
          <w:szCs w:val="20"/>
        </w:rPr>
      </w:pPr>
      <w:bookmarkStart w:id="44" w:name="_Hlk66881930"/>
      <w:bookmarkStart w:id="45" w:name="_Hlk66881930"/>
      <w:bookmarkEnd w:id="45"/>
      <w:r>
        <w:rPr>
          <w:rFonts w:cs="Calibri" w:ascii="Calibri" w:hAnsi="Calibri"/>
          <w:b/>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Les modalités et conditions d’éligibilité 2022 restent inchangées pour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la prime de vacances</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la prime de certification et compétence SAP</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 xml:space="preserve">la prime de certification et compétence Salesforce </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A noter toutefois que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la prime de certification SAP sera versée au mois de décembre 2022</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la prime de certification Salesforce est versée en 2 fois, en juillet 2022 et janvier 2023</w:t>
      </w:r>
    </w:p>
    <w:p>
      <w:pPr>
        <w:pStyle w:val="Normal"/>
        <w:numPr>
          <w:ilvl w:val="0"/>
          <w:numId w:val="5"/>
        </w:numPr>
        <w:ind w:left="66" w:right="-7" w:hanging="360"/>
        <w:jc w:val="both"/>
        <w:rPr>
          <w:rFonts w:ascii="Calibri" w:hAnsi="Calibri" w:eastAsia="Calibri" w:cs="Calibri"/>
          <w:sz w:val="20"/>
          <w:szCs w:val="20"/>
        </w:rPr>
      </w:pPr>
      <w:r>
        <w:rPr>
          <w:rFonts w:eastAsia="Calibri" w:cs="Calibri" w:ascii="Calibri" w:hAnsi="Calibri"/>
          <w:sz w:val="20"/>
          <w:szCs w:val="20"/>
        </w:rPr>
        <w:t>les consultants du path Expert ne sont pas éligibles aux primes de compétence SAP et Salesforce</w:t>
      </w:r>
    </w:p>
    <w:p>
      <w:pPr>
        <w:pStyle w:val="Normal"/>
        <w:ind w:left="-6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shd w:fill="7030A0" w:val="clear"/>
        <w:ind w:left="-426" w:right="-238" w:hanging="0"/>
        <w:jc w:val="both"/>
        <w:rPr>
          <w:rFonts w:ascii="Calibri" w:hAnsi="Calibri" w:cs="Calibri"/>
          <w:b/>
          <w:b/>
          <w:color w:val="FFFFFF"/>
          <w:sz w:val="20"/>
          <w:szCs w:val="20"/>
        </w:rPr>
      </w:pPr>
      <w:bookmarkStart w:id="46" w:name="_Hlk66881930"/>
      <w:bookmarkEnd w:id="46"/>
      <w:r>
        <w:rPr>
          <w:rFonts w:cs="Calibri" w:ascii="Calibri" w:hAnsi="Calibri"/>
          <w:b/>
          <w:color w:val="FFFFFF"/>
          <w:sz w:val="20"/>
          <w:szCs w:val="20"/>
        </w:rPr>
        <w:t>ARTICLE 4 – AUTRES ELEMENTS</w:t>
      </w:r>
    </w:p>
    <w:p>
      <w:pPr>
        <w:pStyle w:val="Normal"/>
        <w:ind w:left="-426" w:right="-238" w:hanging="0"/>
        <w:jc w:val="both"/>
        <w:rPr>
          <w:rFonts w:ascii="Calibri" w:hAnsi="Calibri" w:cs="Calibri"/>
          <w:b/>
          <w:b/>
          <w:color w:val="000000"/>
          <w:sz w:val="20"/>
          <w:szCs w:val="20"/>
          <w:u w:val="single"/>
        </w:rPr>
      </w:pPr>
      <w:r>
        <w:rPr>
          <w:rFonts w:cs="Calibri" w:ascii="Calibri" w:hAnsi="Calibri"/>
          <w:b/>
          <w:color w:val="000000"/>
          <w:sz w:val="20"/>
          <w:szCs w:val="20"/>
          <w:u w:val="single"/>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Les modalités et conditions d’éligibilité 2022 restent inchangées pour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 dispositif YourPlace, permettant un accès facilité à la location d’un appartement privatif</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 remboursement des frais (y compris les frais de taxi et de restauration en cas de travail nocturne)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 dispositif Car Scheme évolue en 2022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choix d’un nouveau prestataire de courtage automobile : Yooliz</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conformément à notre politique RSE, seuls les véhicules électriques ou hybrides n’émettant pas +80g de CO2/km sont proposés au leasing et bénéficieront d’un abondement de l’entreprise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conditions d’éligibilité évoluent pour ouvrir le programme à l’ensemble des salariés (toutes populations/tous grades)</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valeur faciale du Ticket Restaurant est portée à 10 euros à compter du 1</w:t>
      </w:r>
      <w:r>
        <w:rPr>
          <w:rFonts w:eastAsia="Calibri" w:cs="Calibri" w:ascii="Calibri" w:hAnsi="Calibri"/>
          <w:color w:val="000000"/>
          <w:sz w:val="20"/>
          <w:szCs w:val="20"/>
          <w:vertAlign w:val="superscript"/>
        </w:rPr>
        <w:t>er</w:t>
      </w:r>
      <w:r>
        <w:rPr>
          <w:rFonts w:eastAsia="Calibri" w:cs="Calibri" w:ascii="Calibri" w:hAnsi="Calibri"/>
          <w:color w:val="000000"/>
          <w:sz w:val="20"/>
          <w:szCs w:val="20"/>
        </w:rPr>
        <w:t xml:space="preserve"> mars 2022, avec une participation patronale à hauteur de de 56,9%, soit 5,69 euros financés par l’employeur et 4,31 euros financés par le salarié. Dans la mesure où les éléments variables de paie sont décomptés en mois+1 (décalage de paie), cette mesure apparaîtra sur les fiches de paie du mois d’avril 2022.</w:t>
      </w:r>
    </w:p>
    <w:p>
      <w:pPr>
        <w:pStyle w:val="Paragraphedeliste"/>
        <w:tabs>
          <w:tab w:val="left" w:pos="-142" w:leader="none"/>
        </w:tabs>
        <w:ind w:left="-426" w:right="-238" w:hanging="0"/>
        <w:jc w:val="both"/>
        <w:rPr>
          <w:rFonts w:ascii="Calibri" w:hAnsi="Calibri" w:eastAsia="Calibri" w:cs="Calibri"/>
          <w:color w:val="000000"/>
          <w:sz w:val="20"/>
          <w:szCs w:val="20"/>
        </w:rPr>
      </w:pPr>
      <w:r>
        <w:rPr>
          <w:rFonts w:eastAsia="Calibri" w:cs="Calibri"/>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5 – REMUNERATION COLLECTIVE</w:t>
      </w:r>
    </w:p>
    <w:p>
      <w:pPr>
        <w:pStyle w:val="Normal"/>
        <w:ind w:left="-426" w:right="-238" w:hanging="0"/>
        <w:jc w:val="both"/>
        <w:rPr>
          <w:rFonts w:ascii="Calibri" w:hAnsi="Calibri" w:cs="Calibri"/>
          <w:b/>
          <w:b/>
          <w:color w:val="000000"/>
          <w:sz w:val="20"/>
          <w:szCs w:val="20"/>
        </w:rPr>
      </w:pPr>
      <w:r>
        <w:rPr>
          <w:rFonts w:cs="Calibri" w:ascii="Calibri" w:hAnsi="Calibri"/>
          <w:b/>
          <w:color w:val="000000"/>
          <w:sz w:val="20"/>
          <w:szCs w:val="20"/>
        </w:rPr>
      </w:r>
    </w:p>
    <w:p>
      <w:pPr>
        <w:pStyle w:val="Heading2"/>
        <w:keepLines/>
        <w:numPr>
          <w:ilvl w:val="2"/>
          <w:numId w:val="4"/>
        </w:numPr>
        <w:ind w:left="142" w:right="-238" w:hanging="568"/>
        <w:jc w:val="left"/>
        <w:rPr>
          <w:rFonts w:ascii="Calibri" w:hAnsi="Calibri" w:cs="Calibri"/>
          <w:color w:val="00B0F0"/>
          <w:sz w:val="20"/>
          <w:szCs w:val="20"/>
        </w:rPr>
      </w:pPr>
      <w:bookmarkStart w:id="47" w:name="_Hlk31646381"/>
      <w:r>
        <w:rPr>
          <w:rFonts w:cs="Calibri" w:ascii="Calibri" w:hAnsi="Calibri"/>
          <w:color w:val="00B0F0"/>
          <w:sz w:val="20"/>
          <w:szCs w:val="20"/>
        </w:rPr>
        <w:t>Participation légale</w:t>
      </w:r>
    </w:p>
    <w:p>
      <w:pPr>
        <w:pStyle w:val="Normal"/>
        <w:ind w:left="-426" w:right="-238" w:hanging="0"/>
        <w:jc w:val="both"/>
        <w:rPr>
          <w:rFonts w:ascii="Calibri" w:hAnsi="Calibri" w:eastAsia="Calibri" w:cs="Calibri"/>
          <w:color w:val="000000"/>
          <w:sz w:val="20"/>
          <w:szCs w:val="20"/>
        </w:rPr>
      </w:pPr>
      <w:bookmarkStart w:id="48" w:name="_Hlk505864082"/>
      <w:bookmarkStart w:id="49" w:name="_Hlk505864082"/>
      <w:bookmarkEnd w:id="49"/>
      <w:r>
        <w:rPr>
          <w:rFonts w:eastAsia="Calibri" w:cs="Calibri" w:ascii="Calibri" w:hAnsi="Calibri"/>
          <w:color w:val="000000"/>
          <w:sz w:val="20"/>
          <w:szCs w:val="20"/>
        </w:rPr>
      </w:r>
    </w:p>
    <w:p>
      <w:pPr>
        <w:pStyle w:val="Normal"/>
        <w:ind w:left="-426" w:right="-238" w:hanging="0"/>
        <w:jc w:val="both"/>
        <w:rPr/>
      </w:pPr>
      <w:r>
        <w:rPr>
          <w:rFonts w:eastAsia="Calibri" w:cs="Calibri" w:ascii="Calibri" w:hAnsi="Calibri"/>
          <w:color w:val="000000"/>
          <w:sz w:val="20"/>
          <w:szCs w:val="20"/>
        </w:rPr>
        <w:t xml:space="preserve">Le montant de la réserve de participation versée en </w:t>
      </w:r>
      <w:r>
        <w:rPr>
          <w:rFonts w:cs="Calibri" w:ascii="Calibri" w:hAnsi="Calibri"/>
          <w:color w:val="000000"/>
          <w:sz w:val="20"/>
          <w:szCs w:val="20"/>
        </w:rPr>
        <w:t>2022 au titre de l’année 2021</w:t>
      </w:r>
      <w:r>
        <w:rPr>
          <w:rFonts w:eastAsia="Calibri" w:cs="Calibri" w:ascii="Calibri" w:hAnsi="Calibri"/>
          <w:color w:val="000000"/>
          <w:sz w:val="20"/>
          <w:szCs w:val="20"/>
        </w:rPr>
        <w:t xml:space="preserve"> sera d’environ </w:t>
      </w:r>
      <w:bookmarkEnd w:id="47"/>
      <w:r>
        <w:rPr>
          <w:rFonts w:eastAsia="Calibri" w:cs="Calibri" w:ascii="Calibri" w:hAnsi="Calibri"/>
          <w:color w:val="000000"/>
          <w:sz w:val="20"/>
          <w:szCs w:val="20"/>
        </w:rPr>
        <w:t xml:space="preserve">1,1M€ (hors forfait social).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Une négociation sur l’accord de participation sera prochainement initiée avec le CSE pour définir les modalités de répartition individuelle de la participation 2021 versée en </w:t>
      </w:r>
      <w:r>
        <w:rPr>
          <w:rFonts w:cs="Calibri" w:ascii="Calibri" w:hAnsi="Calibri"/>
          <w:color w:val="000000"/>
          <w:sz w:val="20"/>
          <w:szCs w:val="20"/>
        </w:rPr>
        <w:t>2022</w:t>
      </w:r>
      <w:r>
        <w:rPr>
          <w:rFonts w:eastAsia="Calibri" w:cs="Calibri" w:ascii="Calibri" w:hAnsi="Calibri"/>
          <w:color w:val="000000"/>
          <w:sz w:val="20"/>
          <w:szCs w:val="20"/>
        </w:rPr>
        <w: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4"/>
        </w:numPr>
        <w:ind w:left="142" w:right="-238" w:hanging="568"/>
        <w:jc w:val="left"/>
        <w:rPr>
          <w:rFonts w:ascii="Calibri" w:hAnsi="Calibri" w:cs="Calibri"/>
          <w:color w:val="00B0F0"/>
          <w:sz w:val="20"/>
          <w:szCs w:val="20"/>
        </w:rPr>
      </w:pPr>
      <w:r>
        <w:rPr>
          <w:rFonts w:cs="Calibri" w:ascii="Calibri" w:hAnsi="Calibri"/>
          <w:color w:val="00B0F0"/>
          <w:sz w:val="20"/>
          <w:szCs w:val="20"/>
        </w:rPr>
        <w:t>Intéressement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Une négociation avec le CSE est en cours pour mettre en place un accord d’intéressement au titre de l’année 2022, applicable pour toutes les sociétés de l’UES, sur la base d’objectifs à atteindre sur des critères en lien avec notre politique RSE (People, Planet &amp; Society).</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4"/>
        </w:numPr>
        <w:ind w:left="142" w:right="-238" w:hanging="568"/>
        <w:jc w:val="left"/>
        <w:rPr>
          <w:rFonts w:ascii="Calibri" w:hAnsi="Calibri" w:cs="Calibri"/>
          <w:color w:val="00B0F0"/>
          <w:sz w:val="20"/>
          <w:szCs w:val="20"/>
        </w:rPr>
      </w:pPr>
      <w:r>
        <w:rPr>
          <w:rFonts w:cs="Calibri" w:ascii="Calibri" w:hAnsi="Calibri"/>
          <w:color w:val="00B0F0"/>
          <w:sz w:val="20"/>
          <w:szCs w:val="20"/>
        </w:rPr>
        <w:t>Abondement</w:t>
      </w:r>
    </w:p>
    <w:p>
      <w:pPr>
        <w:pStyle w:val="Heading2"/>
        <w:keepLines/>
        <w:numPr>
          <w:ilvl w:val="1"/>
          <w:numId w:val="1"/>
        </w:numPr>
        <w:ind w:left="-426" w:right="-238" w:hanging="0"/>
        <w:jc w:val="left"/>
        <w:rPr>
          <w:rFonts w:ascii="Calibri" w:hAnsi="Calibri" w:cs="Calibri"/>
          <w:color w:val="00B0F0"/>
          <w:sz w:val="20"/>
          <w:szCs w:val="20"/>
        </w:rPr>
      </w:pPr>
      <w:r>
        <w:rPr>
          <w:rFonts w:cs="Calibri" w:ascii="Calibri" w:hAnsi="Calibri"/>
          <w:color w:val="00B0F0"/>
          <w:sz w:val="20"/>
          <w:szCs w:val="20"/>
        </w:rPr>
      </w:r>
    </w:p>
    <w:p>
      <w:pPr>
        <w:pStyle w:val="Heading2"/>
        <w:keepLines/>
        <w:numPr>
          <w:ilvl w:val="1"/>
          <w:numId w:val="1"/>
        </w:numPr>
        <w:ind w:left="-426" w:right="-238" w:hanging="0"/>
        <w:jc w:val="left"/>
        <w:rPr>
          <w:rFonts w:ascii="Calibri" w:hAnsi="Calibri" w:cs="Calibri"/>
          <w:b w:val="false"/>
          <w:b w:val="false"/>
          <w:bCs/>
          <w:color w:val="00B0F0"/>
          <w:sz w:val="20"/>
          <w:szCs w:val="20"/>
        </w:rPr>
      </w:pPr>
      <w:r>
        <w:rPr>
          <w:rFonts w:eastAsia="Calibri" w:cs="Calibri" w:ascii="Calibri" w:hAnsi="Calibri"/>
          <w:b w:val="false"/>
          <w:bCs/>
          <w:color w:val="000000"/>
          <w:sz w:val="20"/>
          <w:szCs w:val="20"/>
        </w:rPr>
        <w:t>Une négociation avec les Délégués Syndicaux est en cours pour mettre en place une campagne d’abondement sur versement(s) volontaire(s) sur les supports d’épargne salariale (PEE et PERCO).</w:t>
      </w:r>
    </w:p>
    <w:p>
      <w:pPr>
        <w:pStyle w:val="Normal"/>
        <w:ind w:left="-426" w:right="-238" w:hanging="0"/>
        <w:jc w:val="both"/>
        <w:rPr>
          <w:rFonts w:ascii="Calibri" w:hAnsi="Calibri" w:eastAsia="Calibri" w:cs="Calibri"/>
          <w:b/>
          <w:b/>
          <w:bCs/>
          <w:color w:val="000000"/>
          <w:sz w:val="20"/>
          <w:szCs w:val="20"/>
        </w:rPr>
      </w:pPr>
      <w:r>
        <w:rPr>
          <w:rFonts w:eastAsia="Calibri" w:cs="Calibri" w:ascii="Calibri" w:hAnsi="Calibri"/>
          <w:b/>
          <w:bCs/>
          <w:color w:val="000000"/>
          <w:sz w:val="20"/>
          <w:szCs w:val="20"/>
        </w:rPr>
      </w:r>
    </w:p>
    <w:p>
      <w:pPr>
        <w:pStyle w:val="Normal"/>
        <w:shd w:fill="7030A0" w:val="clear"/>
        <w:ind w:left="-426" w:right="-238" w:hanging="0"/>
        <w:jc w:val="both"/>
        <w:rPr>
          <w:rFonts w:ascii="Calibri" w:hAnsi="Calibri" w:cs="Calibri"/>
          <w:b/>
          <w:b/>
          <w:color w:val="FFFFFF"/>
          <w:sz w:val="20"/>
          <w:szCs w:val="20"/>
        </w:rPr>
      </w:pPr>
      <w:bookmarkStart w:id="50" w:name="_Hlk505864082"/>
      <w:bookmarkEnd w:id="50"/>
      <w:r>
        <w:rPr>
          <w:rFonts w:cs="Calibri" w:ascii="Calibri" w:hAnsi="Calibri"/>
          <w:b/>
          <w:color w:val="FFFFFF"/>
          <w:sz w:val="20"/>
          <w:szCs w:val="20"/>
        </w:rPr>
        <w:t>ARTICLE 6 – Equilibre vie familiale / vie professionnelle et qualité de vie au travail</w:t>
      </w:r>
    </w:p>
    <w:p>
      <w:pPr>
        <w:pStyle w:val="Paragraphedeliste"/>
        <w:tabs>
          <w:tab w:val="left" w:pos="284" w:leader="none"/>
        </w:tabs>
        <w:ind w:left="-426" w:right="-238" w:hanging="0"/>
        <w:jc w:val="both"/>
        <w:rPr>
          <w:rFonts w:ascii="Calibri" w:hAnsi="Calibri" w:cs="Calibri"/>
          <w:b/>
          <w:b/>
          <w:color w:val="000000"/>
          <w:sz w:val="20"/>
          <w:szCs w:val="20"/>
        </w:rPr>
      </w:pPr>
      <w:r>
        <w:rPr>
          <w:rFonts w:cs="Calibri"/>
          <w:b/>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Forfaits jours réduits</w:t>
      </w:r>
    </w:p>
    <w:p>
      <w:pPr>
        <w:pStyle w:val="Paragraphedeliste"/>
        <w:tabs>
          <w:tab w:val="left" w:pos="284" w:leader="none"/>
        </w:tabs>
        <w:ind w:left="-426" w:right="-238" w:hanging="0"/>
        <w:jc w:val="both"/>
        <w:rPr>
          <w:rFonts w:ascii="Calibri" w:hAnsi="Calibri" w:cs="Calibri"/>
          <w:color w:val="000000"/>
          <w:sz w:val="20"/>
          <w:szCs w:val="20"/>
        </w:rPr>
      </w:pPr>
      <w:r>
        <w:rPr>
          <w:rFonts w:cs="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Les forfaits à 92% et à 95%, ouverts aux salariés en forfait jours, sont tous deux reconduits en 2022.</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 xml:space="preserve">Congé maternité </w:t>
      </w:r>
    </w:p>
    <w:p>
      <w:pPr>
        <w:pStyle w:val="Normal"/>
        <w:ind w:left="-426" w:right="-238" w:hanging="0"/>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mesure d’allongement du congé maternité proposée par BearingPoint est maintenue dans les mêmes conditions que 2021, à savoir :</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1 mois de congé supplémentaire offert, accolé au congé maternité, et rémunéré à 100%</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ou 2 mois de congé supplémentaires offerts, rémunérés à 50%</w:t>
      </w:r>
    </w:p>
    <w:p>
      <w:pPr>
        <w:pStyle w:val="Normal"/>
        <w:numPr>
          <w:ilvl w:val="0"/>
          <w:numId w:val="11"/>
        </w:numPr>
        <w:ind w:left="66" w:right="-238" w:hanging="360"/>
        <w:jc w:val="both"/>
        <w:rPr>
          <w:rFonts w:ascii="Calibri" w:hAnsi="Calibri" w:cs="Calibri"/>
          <w:color w:val="000000"/>
          <w:sz w:val="21"/>
          <w:szCs w:val="21"/>
        </w:rPr>
      </w:pPr>
      <w:r>
        <w:rPr>
          <w:rFonts w:cs="Calibri" w:ascii="Calibri" w:hAnsi="Calibri"/>
          <w:color w:val="000000"/>
          <w:sz w:val="21"/>
          <w:szCs w:val="21"/>
        </w:rPr>
        <w:t>la prise de jours supplémentaires en format « temps partiel » si les conditions de la mission le permettent : 20 jours à prendre dans les 3 mois suivant le retour au travail</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rPr>
          <w:rFonts w:ascii="Calibri" w:hAnsi="Calibri" w:eastAsia="Calibri" w:cs="Calibri"/>
          <w:color w:val="000000"/>
          <w:sz w:val="21"/>
          <w:szCs w:val="21"/>
        </w:rPr>
      </w:pPr>
      <w:r>
        <w:rPr>
          <w:rFonts w:eastAsia="Calibri" w:cs="Calibri" w:ascii="Calibri" w:hAnsi="Calibri"/>
          <w:color w:val="000000"/>
          <w:sz w:val="21"/>
          <w:szCs w:val="21"/>
        </w:rPr>
        <w:t>En complément, un dispositif de coaching dédié à la maternité est proposé et toutes les mères peuvent bénéficier de 4 séances de coaching au moment de leur congé maternité :</w:t>
      </w:r>
    </w:p>
    <w:p>
      <w:pPr>
        <w:pStyle w:val="Normal"/>
        <w:numPr>
          <w:ilvl w:val="0"/>
          <w:numId w:val="8"/>
        </w:numPr>
        <w:ind w:left="294" w:right="-238" w:hanging="360"/>
        <w:rPr>
          <w:rFonts w:ascii="Calibri" w:hAnsi="Calibri" w:eastAsia="Calibri" w:cs="Calibri"/>
          <w:color w:val="000000"/>
          <w:sz w:val="21"/>
          <w:szCs w:val="21"/>
        </w:rPr>
      </w:pPr>
      <w:r>
        <w:rPr>
          <w:rFonts w:eastAsia="Calibri" w:cs="Calibri" w:ascii="Calibri" w:hAnsi="Calibri"/>
          <w:color w:val="000000"/>
          <w:sz w:val="21"/>
          <w:szCs w:val="21"/>
        </w:rPr>
        <w:t>1 séance avant le congé maternité pour préparer le départ en congé maternité</w:t>
      </w:r>
    </w:p>
    <w:p>
      <w:pPr>
        <w:pStyle w:val="Normal"/>
        <w:numPr>
          <w:ilvl w:val="0"/>
          <w:numId w:val="8"/>
        </w:numPr>
        <w:ind w:left="294" w:right="-238" w:hanging="360"/>
        <w:rPr/>
      </w:pPr>
      <w:r>
        <w:rPr>
          <w:rFonts w:eastAsia="Calibri" w:cs="Calibri" w:ascii="Calibri" w:hAnsi="Calibri"/>
          <w:color w:val="000000"/>
          <w:sz w:val="21"/>
          <w:szCs w:val="21"/>
        </w:rPr>
        <w:t>1 séance dans les 15 jours suivant le retour du congé maternité</w:t>
      </w:r>
    </w:p>
    <w:p>
      <w:pPr>
        <w:pStyle w:val="Normal"/>
        <w:numPr>
          <w:ilvl w:val="0"/>
          <w:numId w:val="8"/>
        </w:numPr>
        <w:ind w:left="294" w:right="-238" w:hanging="360"/>
        <w:rPr>
          <w:rFonts w:ascii="Calibri" w:hAnsi="Calibri" w:eastAsia="Calibri" w:cs="Calibri"/>
          <w:color w:val="000000"/>
          <w:sz w:val="21"/>
          <w:szCs w:val="21"/>
        </w:rPr>
      </w:pPr>
      <w:r>
        <w:rPr>
          <w:rFonts w:eastAsia="Calibri" w:cs="Calibri" w:ascii="Calibri" w:hAnsi="Calibri"/>
          <w:color w:val="000000"/>
          <w:sz w:val="21"/>
          <w:szCs w:val="21"/>
        </w:rPr>
        <w:t>2 séances à positionner à la convenance de la salariée</w:t>
      </w:r>
    </w:p>
    <w:p>
      <w:pPr>
        <w:pStyle w:val="Normal"/>
        <w:ind w:left="-426" w:right="-238" w:hanging="0"/>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 xml:space="preserve">Congé paternité </w:t>
      </w:r>
    </w:p>
    <w:p>
      <w:pPr>
        <w:pStyle w:val="Normal"/>
        <w:ind w:left="-426" w:right="-238" w:hanging="0"/>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Depuis le 1</w:t>
      </w:r>
      <w:r>
        <w:rPr>
          <w:rFonts w:cs="Calibri" w:ascii="Calibri" w:hAnsi="Calibri"/>
          <w:color w:val="000000"/>
          <w:sz w:val="20"/>
          <w:szCs w:val="20"/>
          <w:vertAlign w:val="superscript"/>
        </w:rPr>
        <w:t>er</w:t>
      </w:r>
      <w:r>
        <w:rPr>
          <w:rFonts w:cs="Calibri" w:ascii="Calibri" w:hAnsi="Calibri"/>
          <w:color w:val="000000"/>
          <w:sz w:val="20"/>
          <w:szCs w:val="20"/>
        </w:rPr>
        <w:t xml:space="preserve"> juillet 2021, la durée du congé paternité est passée de 14 à 28 jours, durée pendant laquelle BearingPoint s’engage à maintenir à 100% le salaire net des pères, déduction faite des indemnités journalières de la Sécurité Sociale.</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A compter de mars 2022, BearingPoint ajoute à ces 28 jours une semaine de congés supplémentaire, à prendre dans les 6 mois suivants la naissance de l’enfant, avec un maintien de salaire à 100%.</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eastAsia="Calibri" w:cs="Calibri"/>
          <w:color w:val="000000"/>
          <w:sz w:val="21"/>
          <w:szCs w:val="21"/>
        </w:rPr>
      </w:pPr>
      <w:r>
        <w:rPr>
          <w:rFonts w:eastAsia="Calibri" w:cs="Calibri" w:ascii="Calibri" w:hAnsi="Calibri"/>
          <w:color w:val="000000"/>
          <w:sz w:val="21"/>
          <w:szCs w:val="21"/>
        </w:rPr>
        <w:t>En complément, un dispositif de coaching dédié à la paternité est proposé et toutes les pères peuvent bénéficier de 2 séances de coaching à positionner avant ou après leur congé.</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Congé parental « second parent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Pour favoriser l’inclusion, BearingPoint a mis en place le congé « second parent » en 2021 pour permettre à l’ensemble des parents de tout sexe de bénéficier a minima d’un congé égal au congé paternité, et ce dans les mêmes conditions financières, à savoir un congé de 28 jours, rémunéré à 100%, supporté en totalité par BearingPoint.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eastAsia="Calibri" w:cs="Calibri" w:ascii="Calibri" w:hAnsi="Calibri"/>
          <w:color w:val="000000"/>
          <w:sz w:val="20"/>
          <w:szCs w:val="20"/>
        </w:rPr>
        <w:t>Ce congé second parent, qui représente un atout majeur dans la lutte pour l’égalité entre les femmes et les hommes, se verra allongé d’une 5</w:t>
      </w:r>
      <w:r>
        <w:rPr>
          <w:rFonts w:eastAsia="Calibri" w:cs="Calibri" w:ascii="Calibri" w:hAnsi="Calibri"/>
          <w:color w:val="000000"/>
          <w:sz w:val="20"/>
          <w:szCs w:val="20"/>
          <w:vertAlign w:val="superscript"/>
        </w:rPr>
        <w:t>ème</w:t>
      </w:r>
      <w:r>
        <w:rPr>
          <w:rFonts w:eastAsia="Calibri" w:cs="Calibri" w:ascii="Calibri" w:hAnsi="Calibri"/>
          <w:color w:val="000000"/>
          <w:sz w:val="20"/>
          <w:szCs w:val="20"/>
        </w:rPr>
        <w:t xml:space="preserve"> semaine de congés rémunérée à 100%, à prendre </w:t>
      </w:r>
      <w:r>
        <w:rPr>
          <w:rFonts w:cs="Calibri" w:ascii="Calibri" w:hAnsi="Calibri"/>
          <w:color w:val="000000"/>
          <w:sz w:val="20"/>
          <w:szCs w:val="20"/>
        </w:rPr>
        <w:t>dans les 6 mois suivants la naissance de l’enfant.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1"/>
          <w:szCs w:val="21"/>
        </w:rPr>
      </w:pPr>
      <w:r>
        <w:rPr>
          <w:rFonts w:eastAsia="Calibri" w:cs="Calibri" w:ascii="Calibri" w:hAnsi="Calibri"/>
          <w:color w:val="000000"/>
          <w:sz w:val="21"/>
          <w:szCs w:val="21"/>
        </w:rPr>
        <w:t>En complément, un dispositif de coaching dédié au parent, ne bénéficiant pas des mesures maternité ou paternité, est proposé avec 2 séances de coaching à positionner avant ou après leur congé second parent.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Télétravail</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Dans l’attente de la négociation d’un accord avec les Délégués Syndicaux, pour déterminer le meilleur cadre possible concernant la mise en place du télétravail, avec la définition du mode de travail hybride, mêlant travail présentiel et distanciel, le plus adapté pour ses salariés, BearingPoint maintient son dispositif d’accompagnement du télétravail selon les modalités suivantes :</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une indemnisation forfaitaire de 20 euros par mois </w:t>
      </w:r>
    </w:p>
    <w:p>
      <w:pPr>
        <w:pStyle w:val="Normal"/>
        <w:numPr>
          <w:ilvl w:val="0"/>
          <w:numId w:val="11"/>
        </w:numPr>
        <w:ind w:left="66" w:right="-238" w:hanging="360"/>
        <w:rPr>
          <w:rFonts w:ascii="Calibri" w:hAnsi="Calibri" w:eastAsia="Calibri" w:cs="Calibri"/>
          <w:color w:val="000000"/>
          <w:sz w:val="20"/>
          <w:szCs w:val="20"/>
        </w:rPr>
      </w:pPr>
      <w:r>
        <w:rPr>
          <w:rFonts w:eastAsia="Calibri" w:cs="Calibri" w:ascii="Calibri" w:hAnsi="Calibri"/>
          <w:color w:val="000000"/>
          <w:sz w:val="20"/>
          <w:szCs w:val="20"/>
        </w:rPr>
        <w:t>deux subventions équipement de 75 euros max correspondant à 50% de l’achat TTC dans la limite de 150€ TTC pour l’achat d’un écran et d’un fauteuil ergonomique</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la mise à disposition d’espaces de coworking avec le prestataire Neo-nomade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Evènements familiaux</w:t>
      </w:r>
    </w:p>
    <w:p>
      <w:pPr>
        <w:pStyle w:val="Heading2"/>
        <w:keepLines/>
        <w:numPr>
          <w:ilvl w:val="1"/>
          <w:numId w:val="1"/>
        </w:numPr>
        <w:ind w:left="-426" w:right="-238" w:hanging="0"/>
        <w:jc w:val="left"/>
        <w:rPr>
          <w:rFonts w:ascii="Calibri" w:hAnsi="Calibri" w:cs="Calibri"/>
          <w:color w:val="00B0F0"/>
          <w:sz w:val="20"/>
          <w:szCs w:val="20"/>
        </w:rPr>
      </w:pPr>
      <w:r>
        <w:rPr>
          <w:rFonts w:cs="Calibri" w:ascii="Calibri" w:hAnsi="Calibri"/>
          <w:color w:val="00B0F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A compter de 2022, chaque parent d’un enfant âgé de moins de 15 ans bénéficiera de 5 jours de congés enfant malade par enfant.</w:t>
      </w:r>
    </w:p>
    <w:p>
      <w:pPr>
        <w:pStyle w:val="Paragraphedeliste"/>
        <w:tabs>
          <w:tab w:val="left" w:pos="-142" w:leader="none"/>
        </w:tabs>
        <w:ind w:left="-426" w:right="-238" w:hanging="0"/>
        <w:jc w:val="both"/>
        <w:rPr>
          <w:rFonts w:ascii="Calibri" w:hAnsi="Calibri" w:eastAsia="Calibri" w:cs="Calibri"/>
          <w:color w:val="000000"/>
          <w:sz w:val="20"/>
          <w:szCs w:val="20"/>
        </w:rPr>
      </w:pPr>
      <w:r>
        <w:rPr>
          <w:rFonts w:eastAsia="Calibri"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 nombre de journées accordé par la Direction au titre des autres évènements familiaux reste inchangé</w:t>
      </w:r>
      <w:bookmarkStart w:id="51" w:name="_Hlk67996411"/>
      <w:r>
        <w:rPr>
          <w:rFonts w:cs="Calibri"/>
          <w:color w:val="000000"/>
          <w:sz w:val="20"/>
          <w:szCs w:val="20"/>
        </w:rPr>
        <w:t xml:space="preserve"> par rapport à 2021.</w:t>
      </w:r>
    </w:p>
    <w:p>
      <w:pPr>
        <w:pStyle w:val="Paragraphedeliste"/>
        <w:tabs>
          <w:tab w:val="left" w:pos="284" w:leader="none"/>
        </w:tabs>
        <w:ind w:left="-426" w:right="-238" w:hanging="0"/>
        <w:jc w:val="both"/>
        <w:rPr>
          <w:rFonts w:cs="Calibri"/>
          <w:color w:val="000000"/>
          <w:sz w:val="20"/>
          <w:szCs w:val="20"/>
        </w:rPr>
      </w:pPr>
      <w:bookmarkEnd w:id="51"/>
      <w:r>
        <w:rPr>
          <w:rFonts w:cs="Calibri"/>
          <w:color w:val="000000"/>
          <w:sz w:val="20"/>
          <w:szCs w:val="20"/>
        </w:rPr>
      </w:r>
    </w:p>
    <w:p>
      <w:pPr>
        <w:pStyle w:val="Heading2"/>
        <w:keepLines/>
        <w:numPr>
          <w:ilvl w:val="2"/>
          <w:numId w:val="6"/>
        </w:numPr>
        <w:ind w:left="142" w:right="-238" w:hanging="568"/>
        <w:jc w:val="left"/>
        <w:rPr>
          <w:rFonts w:ascii="Calibri" w:hAnsi="Calibri" w:cs="Calibri"/>
          <w:color w:val="00B0F0"/>
          <w:sz w:val="21"/>
          <w:szCs w:val="21"/>
        </w:rPr>
      </w:pPr>
      <w:r>
        <w:rPr>
          <w:rFonts w:cs="Calibri" w:ascii="Calibri" w:hAnsi="Calibri"/>
          <w:color w:val="00B0F0"/>
          <w:sz w:val="21"/>
          <w:szCs w:val="21"/>
        </w:rPr>
        <w:t>Mécénat de compétences et missions pro bono</w:t>
      </w:r>
    </w:p>
    <w:p>
      <w:pPr>
        <w:pStyle w:val="Paragraphedeliste"/>
        <w:tabs>
          <w:tab w:val="left" w:pos="-142" w:leader="none"/>
        </w:tabs>
        <w:ind w:left="-426" w:right="-238" w:hanging="0"/>
        <w:jc w:val="both"/>
        <w:rPr>
          <w:rFonts w:ascii="Calibri" w:hAnsi="Calibri"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Les collaborateurs pourront réaliser du mécénat de compétences pendant leur temps de travail sur leurs missions clients.</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Par ailleurs, BearingPoint renouvelle son partenariat avec Vendredi, pour permettre à tous les salariés de s’impliquer dans un engagement solidaire via des missions pro bono, permettant notamment d’accompagner une association d’intérêt général sur le temps de travail, sans perte de rémunération.</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Pour s’engager, il suffit d’identifier sur la plateforme Vendredi une mission solidaire en fonction de ses envies, compétences, disponibilité, localisation, etc. et d’informer son Development Manager ou Engagement Manager pour s’assurer au préalable de la compatibilité de l’engagement pro bono avec les tâches à réaliser ou la mission en cours.</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La journée de solidarité 2022, positionnée pour tous les salariés de l’UES sur le lundi de Pentecôte, soit le 6 juin 2022, pourra être consacrée à une mission pro bono, en lieu et place d’une JRTT.</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 xml:space="preserve">Autres </w:t>
      </w:r>
    </w:p>
    <w:p>
      <w:pPr>
        <w:pStyle w:val="Heading2"/>
        <w:keepLines/>
        <w:numPr>
          <w:ilvl w:val="1"/>
          <w:numId w:val="1"/>
        </w:numPr>
        <w:ind w:left="-426" w:right="-238" w:hanging="0"/>
        <w:jc w:val="left"/>
        <w:rPr>
          <w:rFonts w:ascii="Calibri" w:hAnsi="Calibri" w:cs="Calibri"/>
          <w:color w:val="00B0F0"/>
          <w:sz w:val="20"/>
          <w:szCs w:val="20"/>
        </w:rPr>
      </w:pPr>
      <w:r>
        <w:rPr>
          <w:rFonts w:cs="Calibri" w:ascii="Calibri" w:hAnsi="Calibri"/>
          <w:color w:val="00B0F0"/>
          <w:sz w:val="20"/>
          <w:szCs w:val="20"/>
        </w:rPr>
      </w:r>
    </w:p>
    <w:p>
      <w:pPr>
        <w:pStyle w:val="Heading2"/>
        <w:keepLines/>
        <w:numPr>
          <w:ilvl w:val="1"/>
          <w:numId w:val="1"/>
        </w:numPr>
        <w:ind w:left="-426" w:right="-238" w:hanging="0"/>
        <w:jc w:val="left"/>
        <w:rPr>
          <w:rFonts w:ascii="Calibri" w:hAnsi="Calibri" w:eastAsia="Calibri" w:cs="Calibri"/>
          <w:b w:val="false"/>
          <w:b w:val="false"/>
          <w:color w:val="000000"/>
          <w:sz w:val="20"/>
          <w:szCs w:val="20"/>
        </w:rPr>
      </w:pPr>
      <w:r>
        <w:rPr>
          <w:rFonts w:eastAsia="Calibri" w:cs="Calibri" w:ascii="Calibri" w:hAnsi="Calibri"/>
          <w:b w:val="false"/>
          <w:color w:val="000000"/>
          <w:sz w:val="20"/>
          <w:szCs w:val="20"/>
        </w:rPr>
        <w:t>Les modalités et conditions d’éligibilité restent inchangées concernant :</w:t>
      </w:r>
    </w:p>
    <w:p>
      <w:pPr>
        <w:pStyle w:val="Heading2"/>
        <w:keepLines/>
        <w:numPr>
          <w:ilvl w:val="0"/>
          <w:numId w:val="11"/>
        </w:numPr>
        <w:ind w:left="66" w:right="-238" w:hanging="360"/>
        <w:jc w:val="left"/>
        <w:rPr>
          <w:rFonts w:ascii="Calibri" w:hAnsi="Calibri" w:eastAsia="Calibri" w:cs="Calibri"/>
          <w:b w:val="false"/>
          <w:b w:val="false"/>
          <w:color w:val="000000"/>
          <w:sz w:val="20"/>
          <w:szCs w:val="20"/>
        </w:rPr>
      </w:pPr>
      <w:r>
        <w:rPr>
          <w:rFonts w:eastAsia="Calibri" w:cs="Calibri" w:ascii="Calibri" w:hAnsi="Calibri"/>
          <w:b w:val="false"/>
          <w:color w:val="000000"/>
          <w:sz w:val="20"/>
          <w:szCs w:val="20"/>
        </w:rPr>
        <w:t>le congé pour être juré d’assises</w:t>
      </w:r>
    </w:p>
    <w:p>
      <w:pPr>
        <w:pStyle w:val="Heading2"/>
        <w:keepLines/>
        <w:numPr>
          <w:ilvl w:val="0"/>
          <w:numId w:val="11"/>
        </w:numPr>
        <w:ind w:left="66" w:right="-238" w:hanging="360"/>
        <w:jc w:val="left"/>
        <w:rPr>
          <w:rFonts w:ascii="Calibri" w:hAnsi="Calibri" w:eastAsia="Calibri" w:cs="Calibri"/>
          <w:b w:val="false"/>
          <w:b w:val="false"/>
          <w:color w:val="000000"/>
          <w:sz w:val="20"/>
          <w:szCs w:val="20"/>
        </w:rPr>
      </w:pPr>
      <w:r>
        <w:rPr>
          <w:rFonts w:eastAsia="Calibri" w:cs="Calibri" w:ascii="Calibri" w:hAnsi="Calibri"/>
          <w:b w:val="false"/>
          <w:color w:val="000000"/>
          <w:sz w:val="20"/>
          <w:szCs w:val="20"/>
        </w:rPr>
        <w:t>la possibilité de faire partie de la réserve militaire</w:t>
      </w:r>
    </w:p>
    <w:p>
      <w:pPr>
        <w:pStyle w:val="Heading2"/>
        <w:keepLines/>
        <w:numPr>
          <w:ilvl w:val="0"/>
          <w:numId w:val="11"/>
        </w:numPr>
        <w:ind w:left="66" w:right="-238" w:hanging="360"/>
        <w:jc w:val="left"/>
        <w:rPr>
          <w:rFonts w:ascii="Calibri" w:hAnsi="Calibri" w:eastAsia="Calibri" w:cs="Calibri"/>
          <w:b w:val="false"/>
          <w:b w:val="false"/>
          <w:bCs/>
          <w:color w:val="000000"/>
          <w:sz w:val="20"/>
          <w:szCs w:val="20"/>
        </w:rPr>
      </w:pPr>
      <w:r>
        <w:rPr>
          <w:rFonts w:eastAsia="Calibri" w:cs="Calibri" w:ascii="Calibri" w:hAnsi="Calibri"/>
          <w:b w:val="false"/>
          <w:bCs/>
          <w:color w:val="000000"/>
          <w:sz w:val="20"/>
          <w:szCs w:val="20"/>
        </w:rPr>
        <w:t>l’offre sport avec Gymlib (accès à plus de 4.000 salles de sport et 300 activités partout en France)</w:t>
      </w:r>
    </w:p>
    <w:p>
      <w:pPr>
        <w:pStyle w:val="Paragraphedeliste"/>
        <w:tabs>
          <w:tab w:val="left" w:pos="284" w:leader="none"/>
        </w:tabs>
        <w:ind w:left="-426" w:right="-238" w:hanging="0"/>
        <w:jc w:val="both"/>
        <w:rPr>
          <w:rFonts w:ascii="Calibri" w:hAnsi="Calibri" w:eastAsia="Calibri" w:cs="Calibri"/>
          <w:b/>
          <w:b/>
          <w:bCs/>
          <w:color w:val="000000"/>
          <w:sz w:val="20"/>
          <w:szCs w:val="20"/>
        </w:rPr>
      </w:pPr>
      <w:r>
        <w:rPr>
          <w:rFonts w:eastAsia="Calibri" w:cs="Calibri"/>
          <w:b/>
          <w:bCs/>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7 – DROIT A LA DECONNEXION</w:t>
      </w:r>
    </w:p>
    <w:p>
      <w:pPr>
        <w:pStyle w:val="Normal"/>
        <w:ind w:left="-426" w:right="-238" w:hanging="0"/>
        <w:jc w:val="both"/>
        <w:rPr>
          <w:rFonts w:ascii="Calibri" w:hAnsi="Calibri" w:cs="Calibri"/>
          <w:b/>
          <w:b/>
          <w:color w:val="000000"/>
          <w:sz w:val="20"/>
          <w:szCs w:val="20"/>
          <w:u w:val="single"/>
        </w:rPr>
      </w:pPr>
      <w:r>
        <w:rPr>
          <w:rFonts w:cs="Calibri" w:ascii="Calibri" w:hAnsi="Calibri"/>
          <w:b/>
          <w:color w:val="000000"/>
          <w:sz w:val="20"/>
          <w:szCs w:val="20"/>
          <w:u w:val="single"/>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 xml:space="preserve">La négociation sur le droit à la déconnexion, amorcée courant 2020 avec les délégués syndicaux, n’a pas abouti à un accord. </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 xml:space="preserve">La Direction est toutefois consciente que ce sujet doit être formalisé, notamment au cours de la mise à jour 2022 du Document Unique d’Evaluation des Risques Professionnels (DUERP). </w:t>
      </w:r>
    </w:p>
    <w:p>
      <w:pPr>
        <w:pStyle w:val="Normal"/>
        <w:ind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Dans l’intervalle, l’importance de surveiller leur équilibre vie personnelle/vie professionnelle est constamment rappelée aux salariés, et systématiquement abordée au cours de l’entretien professionnel annuel.</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8 – EGALITE PROFESSIONNELLE</w:t>
      </w:r>
    </w:p>
    <w:p>
      <w:pPr>
        <w:pStyle w:val="Paragraphedeliste"/>
        <w:tabs>
          <w:tab w:val="left" w:pos="284" w:leader="none"/>
        </w:tabs>
        <w:ind w:left="-426" w:right="-238" w:hanging="0"/>
        <w:jc w:val="both"/>
        <w:rPr>
          <w:rFonts w:ascii="Calibri" w:hAnsi="Calibri" w:eastAsia="Times New Roman" w:cs="Calibri"/>
          <w:b/>
          <w:b/>
          <w:color w:val="000000"/>
          <w:sz w:val="20"/>
          <w:szCs w:val="20"/>
          <w:u w:val="single"/>
          <w:lang w:eastAsia="en-US"/>
        </w:rPr>
      </w:pPr>
      <w:r>
        <w:rPr>
          <w:rFonts w:eastAsia="Times New Roman" w:cs="Calibri"/>
          <w:b/>
          <w:color w:val="000000"/>
          <w:sz w:val="20"/>
          <w:szCs w:val="20"/>
          <w:u w:val="single"/>
          <w:lang w:eastAsia="en-US"/>
        </w:rPr>
      </w:r>
    </w:p>
    <w:p>
      <w:pPr>
        <w:pStyle w:val="Heading2"/>
        <w:keepLines/>
        <w:numPr>
          <w:ilvl w:val="3"/>
          <w:numId w:val="6"/>
        </w:numPr>
        <w:ind w:left="0" w:right="-238" w:hanging="426"/>
        <w:jc w:val="left"/>
        <w:rPr>
          <w:rFonts w:ascii="Calibri" w:hAnsi="Calibri" w:cs="Calibri"/>
          <w:color w:val="00B0F0"/>
          <w:sz w:val="20"/>
          <w:szCs w:val="20"/>
        </w:rPr>
      </w:pPr>
      <w:r>
        <w:rPr>
          <w:rFonts w:cs="Calibri" w:ascii="Calibri" w:hAnsi="Calibri"/>
          <w:color w:val="00B0F0"/>
          <w:sz w:val="20"/>
          <w:szCs w:val="20"/>
        </w:rPr>
        <w:t>Egalité Femme/Homme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diversité au sens large constitue un élément fondamental de la culture de BearingPoint, et notre implication se reflète dans nos valeurs et nos modes de travail, pour permettre à nos talents d’aujourd’hui et de demain d’évoluer dans un environnement inclusif et responsable.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Concernant notre engagement en matière de mixité, les objectifs 2025 au niveau de BearingPoint Groupe sont :</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40% de femmes tous grades confondus</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au moins 20% de femmes Partners</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une représentation féminine dans le top management (SM, DA, P) de toutes nos équipes</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A</w:t>
      </w:r>
      <w:r>
        <w:rPr>
          <w:rFonts w:cs="Calibri" w:ascii="Calibri" w:hAnsi="Calibri"/>
          <w:sz w:val="20"/>
          <w:szCs w:val="20"/>
        </w:rPr>
        <w:t>u niveau de notre région FBLA, si les deux premiers objectifs sont déjà atteints, nous souhaitons être e</w:t>
      </w:r>
      <w:r>
        <w:rPr>
          <w:rFonts w:eastAsia="Calibri" w:cs="Calibri" w:ascii="Calibri" w:hAnsi="Calibri"/>
          <w:color w:val="000000"/>
          <w:sz w:val="20"/>
          <w:szCs w:val="20"/>
        </w:rPr>
        <w:t>ncore plus ambitieux et permettre à chacune de se construire une carrière durable au sein du cabinet.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 rapport de situation comparée entre les hommes et les femmes pour l’année 2020 a permis de confirmer l’égalité professionnelle entre hommes et femmes par l’analyse de la situation des hommes et des femmes par catégorie professionnelle, en matière d'embauche, de formation de promotion, de qualification, de conditions de travail, de rémunération effective et d'articulation entre l'activité professionnelle et les responsabilités familiales des salariés.</w:t>
      </w:r>
    </w:p>
    <w:p>
      <w:pPr>
        <w:pStyle w:val="Normal"/>
        <w:ind w:left="-426" w:right="-238" w:hanging="0"/>
        <w:jc w:val="both"/>
        <w:rPr/>
      </w:pPr>
      <w:r>
        <w:rPr>
          <w:rFonts w:eastAsia="Calibri" w:cs="Calibri" w:ascii="Calibri" w:hAnsi="Calibri"/>
          <w:color w:val="000000"/>
          <w:sz w:val="20"/>
          <w:szCs w:val="20"/>
        </w:rPr>
        <w:t>Le rapport pour l’année 2021 sera présenté pour avis à l’instance du CSE dans le courant de l’année 2022.</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Les données communiquées dans le cadre de cette négociation annuelle obligatoire démontrent une égalité de rémunération entre les hommes et les femmes à grade équivalent compte tenu d’une part des très faibles écarts entre les rémunérations des hommes et des femmes à grade équivalent et d’autre part du fait que selon les grades et les années le faible écart peut se faire à l’avantage des femmes ou des hommes.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Dans le cadre des dispositions légales mises en place dans le cadre de la loi Avenir du 5 septembre 2018, les entreprises ont l’obligation de publier annuellement leurs indicateurs portant sur l’égalité F/H et de présenter les éventuelles actions correctives nécessaires, en complément depuis 2021, de l’affichage de leur score sur leur site internet. Les résultats de BearingPoint à son index </w:t>
      </w:r>
      <w:r>
        <w:rPr>
          <w:rFonts w:cs="Calibri" w:ascii="Calibri" w:hAnsi="Calibri"/>
          <w:color w:val="000000"/>
          <w:sz w:val="20"/>
          <w:szCs w:val="20"/>
        </w:rPr>
        <w:t>2022</w:t>
      </w:r>
      <w:r>
        <w:rPr>
          <w:rFonts w:eastAsia="Calibri" w:cs="Calibri" w:ascii="Calibri" w:hAnsi="Calibri"/>
          <w:color w:val="000000"/>
          <w:sz w:val="20"/>
          <w:szCs w:val="20"/>
        </w:rPr>
        <w:t>, sur la base des données chiffrées de l’année 2021, donnent une note de 94/100 (contre 89/100 l’année précédente), ce qui place BearingPoint en meilleure position des résultats obtenus par les cabinets de conseil (hors cabinets de conseil en stratégie).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L’ensemble des thématiques ayant trait à la diversité et l’inclusion sera enrichi de différentes initiatives dans le courant de l’année 2022, et notamment à travers le programme appelé « Female Acceleration », lancé en 2021 pour toutes les femmes du cabinet, consultantes comme fonctions supports. Ce programme, adapté à chaque grade, permet à chacune de nos salariées de bénéficier d’un parcours de formation et de coaching, à la fois collectif et individuel, et d’être accompagnée dans la durée, tout au long de leur carrière.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3"/>
          <w:numId w:val="6"/>
        </w:numPr>
        <w:ind w:left="0" w:right="-238" w:hanging="426"/>
        <w:jc w:val="left"/>
        <w:rPr>
          <w:rFonts w:ascii="Calibri" w:hAnsi="Calibri" w:cs="Calibri"/>
          <w:color w:val="00B0F0"/>
          <w:sz w:val="20"/>
          <w:szCs w:val="20"/>
        </w:rPr>
      </w:pPr>
      <w:r>
        <w:rPr>
          <w:rFonts w:cs="Calibri" w:ascii="Calibri" w:hAnsi="Calibri"/>
          <w:color w:val="00B0F0"/>
          <w:sz w:val="20"/>
          <w:szCs w:val="20"/>
        </w:rPr>
        <w:t>Mobilité</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loi Mobilités du 26 décembre 2019 a ajouté un thème de négociation à l'égalité entre les femmes et les hommes et la qualité de vie au travail.</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Depuis 3 ans, BearingPoint étudie toutes les mesures visant à améliorer la mobilité des salariés entre leur lieu de résidence habituelle et leur lieu de travail, notamment en réduisant le coût de la mobilité, et en les incitant à l'usage des modes de transport vertueux.</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eastAsia="Calibri" w:cs="Calibri" w:ascii="Calibri" w:hAnsi="Calibri"/>
          <w:color w:val="000000"/>
          <w:sz w:val="20"/>
          <w:szCs w:val="20"/>
        </w:rPr>
        <w:t xml:space="preserve">Pour inciter nos salariés à favoriser les mobilités douces pour leurs trajets domicile/lieu de travail, le Forfait Mobilités Durables a été reconduit en 2022 avec la signature en février 2022 des </w:t>
      </w:r>
      <w:r>
        <w:rPr>
          <w:rFonts w:cs="Calibri" w:ascii="Calibri" w:hAnsi="Calibri"/>
          <w:color w:val="000000"/>
          <w:sz w:val="20"/>
          <w:szCs w:val="20"/>
        </w:rPr>
        <w:t>organisations syndicales représentatives pour proposer à tous les salariés qui le souhaitent une enveloppe de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500 euros par an pour les utilisateurs exclusifs des mobilités douces</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600 euros par an pour les salariés qui combinent abonnement transport hebdo, mensuel ou annuel (au moins 1 abonnement dans l’année) et mobilités douces (location de vélo, trottinette, covoiturage, etc.)</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En complément, BearingPoint mettra en place le titre Mobilité qui se matérialisera par le versement mensuel d’une enveloppe transport dédiée.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De plus, BearingPoint renouvelle en 2022 son programme vélo avec le partenaire BeeToGreen, pour permettre à ses collaborateurs de pouvoir louer ou acheter un vélo et adapter leur transport à leurs besoins professionnels et personnels.</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Enfin, BearingPoint met l’accent sur la nécessité de réduire son empreinte carbone. Ainsi, la réduction des émissions de CO</w:t>
      </w:r>
      <w:r>
        <w:rPr>
          <w:rFonts w:eastAsia="Calibri" w:cs="Calibri" w:ascii="Calibri" w:hAnsi="Calibri"/>
          <w:color w:val="000000"/>
          <w:sz w:val="20"/>
          <w:szCs w:val="20"/>
          <w:vertAlign w:val="subscript"/>
        </w:rPr>
        <w:t>2</w:t>
      </w:r>
      <w:r>
        <w:rPr>
          <w:rFonts w:eastAsia="Calibri" w:cs="Calibri" w:ascii="Calibri" w:hAnsi="Calibri"/>
          <w:color w:val="000000"/>
          <w:sz w:val="20"/>
          <w:szCs w:val="20"/>
        </w:rPr>
        <w:t xml:space="preserve"> fera partie intégrante de son accord d’intéressement, avec un objectif ambitieux à atteindre pour 2022 d’une émission maximale de 1.451 tonnes de CO</w:t>
      </w:r>
      <w:r>
        <w:rPr>
          <w:rFonts w:eastAsia="Calibri" w:cs="Calibri" w:ascii="Calibri" w:hAnsi="Calibri"/>
          <w:color w:val="000000"/>
          <w:sz w:val="20"/>
          <w:szCs w:val="20"/>
          <w:vertAlign w:val="subscript"/>
        </w:rPr>
        <w:t>2</w:t>
      </w:r>
      <w:r>
        <w:rPr>
          <w:rFonts w:eastAsia="Calibri" w:cs="Calibri" w:ascii="Calibri" w:hAnsi="Calibri"/>
          <w:color w:val="000000"/>
          <w:sz w:val="20"/>
          <w:szCs w:val="20"/>
        </w:rPr>
        <w:t>/salarié, à comparer avec une émission de 1.684 t/p mesurée en 2019.</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L’application GreenWays permettra à chacun de calculer son empreinte carbone à titre individuel et d’adapter ses modes de transport pour les rendre plus verts/vertueux.</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9 – INSERTION PROFESSIONNELLE ET MAINTIEN DANS L’EMPLOI DES TRAVAILLEURS HANDICAPES</w:t>
      </w:r>
    </w:p>
    <w:p>
      <w:pPr>
        <w:pStyle w:val="Paragraphedeliste"/>
        <w:tabs>
          <w:tab w:val="left" w:pos="284" w:leader="none"/>
        </w:tabs>
        <w:ind w:left="-426" w:right="-238" w:hanging="0"/>
        <w:jc w:val="both"/>
        <w:rPr>
          <w:rFonts w:ascii="Calibri" w:hAnsi="Calibri" w:eastAsia="Times New Roman" w:cs="Calibri"/>
          <w:b/>
          <w:b/>
          <w:color w:val="000000"/>
          <w:sz w:val="20"/>
          <w:szCs w:val="20"/>
          <w:u w:val="single"/>
          <w:lang w:eastAsia="en-US"/>
        </w:rPr>
      </w:pPr>
      <w:r>
        <w:rPr>
          <w:rFonts w:eastAsia="Times New Roman" w:cs="Calibri"/>
          <w:b/>
          <w:color w:val="000000"/>
          <w:sz w:val="20"/>
          <w:szCs w:val="20"/>
          <w:u w:val="single"/>
          <w:lang w:eastAsia="en-US"/>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L’entreprise poursuit son partenariat avec Handicap et Solutions, qui se concrétisera en 2022 par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une action d’accompagnement au maintien dans l’emploi de nos travailleurs en situation de handicap. Cet accompagnement se matérialise par une écoute et une information des salariés sur les questions liées au handicap, mais également un conseil et un accompagnement des salariés et de l’entreprise pour l’aménagement des postes de travail (ou autres aménagements de compensation du handicap à titre privé).</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la poursuite des actions de sensibilisation pour l’ensemble des salariés, avec notamment :</w:t>
      </w:r>
    </w:p>
    <w:p>
      <w:pPr>
        <w:pStyle w:val="Normal"/>
        <w:numPr>
          <w:ilvl w:val="1"/>
          <w:numId w:val="5"/>
        </w:numPr>
        <w:ind w:left="654" w:right="-238" w:hanging="360"/>
        <w:jc w:val="both"/>
        <w:rPr>
          <w:rFonts w:ascii="Calibri" w:hAnsi="Calibri" w:eastAsia="Calibri" w:cs="Calibri"/>
          <w:color w:val="000000"/>
          <w:sz w:val="20"/>
          <w:szCs w:val="20"/>
        </w:rPr>
      </w:pPr>
      <w:r>
        <w:rPr>
          <w:rFonts w:eastAsia="Calibri" w:cs="Calibri" w:ascii="Calibri" w:hAnsi="Calibri"/>
          <w:color w:val="000000"/>
          <w:sz w:val="20"/>
          <w:szCs w:val="20"/>
        </w:rPr>
        <w:t>une sensibilisation au handicap en e-learning via notre outil Your Development pour déconstruire les stéréotypes qui peuvent être liés au handicap et informer les salariés sur les avantages liées à la RQTH et les démarches à effectuer pour l’obtenir : un format court à destination de tous les collaborateurs, un format managers pour créer un environnement de confiance et sécurisant pour tous, un format recruteurs pour plus d’inclusivité dans nos pratiques de recrutements</w:t>
      </w:r>
    </w:p>
    <w:p>
      <w:pPr>
        <w:pStyle w:val="Normal"/>
        <w:numPr>
          <w:ilvl w:val="1"/>
          <w:numId w:val="5"/>
        </w:numPr>
        <w:ind w:left="654" w:right="-238" w:hanging="360"/>
        <w:jc w:val="both"/>
        <w:rPr>
          <w:rFonts w:ascii="Calibri" w:hAnsi="Calibri" w:eastAsia="Calibri" w:cs="Calibri"/>
          <w:color w:val="000000"/>
          <w:sz w:val="20"/>
          <w:szCs w:val="20"/>
        </w:rPr>
      </w:pPr>
      <w:r>
        <w:rPr>
          <w:rFonts w:eastAsia="Calibri" w:cs="Calibri" w:ascii="Calibri" w:hAnsi="Calibri"/>
          <w:color w:val="000000"/>
          <w:sz w:val="20"/>
          <w:szCs w:val="20"/>
        </w:rPr>
        <w:t>une exposition photos à CBX (courant 2022), réalisées par un photographe en situation de handicap</w:t>
      </w:r>
    </w:p>
    <w:p>
      <w:pPr>
        <w:pStyle w:val="Paragraphedeliste"/>
        <w:ind w:left="0" w:right="-238" w:hanging="0"/>
        <w:jc w:val="both"/>
        <w:rPr>
          <w:rFonts w:ascii="Calibri" w:hAnsi="Calibri" w:eastAsia="Calibri" w:cs="Calibri"/>
          <w:color w:val="000000"/>
          <w:sz w:val="20"/>
          <w:szCs w:val="20"/>
        </w:rPr>
      </w:pPr>
      <w:r>
        <w:rPr>
          <w:rFonts w:eastAsia="Calibri" w:cs="Calibri"/>
          <w:color w:val="000000"/>
          <w:sz w:val="20"/>
          <w:szCs w:val="20"/>
        </w:rPr>
      </w:r>
    </w:p>
    <w:p>
      <w:pPr>
        <w:pStyle w:val="Normal"/>
        <w:shd w:fill="7030A0" w:val="clear"/>
        <w:ind w:left="-426" w:right="-238" w:hanging="0"/>
        <w:jc w:val="both"/>
        <w:rPr/>
      </w:pPr>
      <w:r>
        <w:rPr>
          <w:rFonts w:cs="Calibri" w:ascii="Calibri" w:hAnsi="Calibri"/>
          <w:b/>
          <w:color w:val="FFFFFF"/>
          <w:sz w:val="20"/>
          <w:szCs w:val="20"/>
        </w:rPr>
        <w:t>ARTICLE 10 – PRINCIPE DE NON-DISCRIMINATION</w:t>
      </w:r>
    </w:p>
    <w:p>
      <w:pPr>
        <w:pStyle w:val="Paragraphedeliste"/>
        <w:tabs>
          <w:tab w:val="left" w:pos="284" w:leader="none"/>
        </w:tabs>
        <w:ind w:left="-426" w:right="-238" w:hanging="0"/>
        <w:jc w:val="both"/>
        <w:rPr>
          <w:rFonts w:ascii="Calibri" w:hAnsi="Calibri" w:cs="Calibri"/>
          <w:b/>
          <w:b/>
          <w:color w:val="000000"/>
          <w:sz w:val="20"/>
          <w:szCs w:val="20"/>
        </w:rPr>
      </w:pPr>
      <w:r>
        <w:rPr>
          <w:rFonts w:cs="Calibri"/>
          <w:b/>
          <w:color w:val="000000"/>
          <w:sz w:val="20"/>
          <w:szCs w:val="20"/>
        </w:rPr>
      </w:r>
    </w:p>
    <w:p>
      <w:pPr>
        <w:pStyle w:val="Normal"/>
        <w:ind w:left="-426" w:right="-238" w:hanging="0"/>
        <w:jc w:val="both"/>
        <w:rPr/>
      </w:pPr>
      <w:r>
        <w:rPr>
          <w:rFonts w:eastAsia="Calibri" w:cs="Calibri" w:ascii="Calibri" w:hAnsi="Calibri"/>
          <w:color w:val="000000"/>
          <w:sz w:val="20"/>
          <w:szCs w:val="20"/>
        </w:rPr>
        <w:t xml:space="preserve">La Direction souhaite rappeler qu’elle porte une attention particulière au respect des dispositions générales du code du travail en matière de non-discrimination ainsi qu’à celles plus particulières concernant la discrimination syndicale et le déroulement de carrière des salariés exerçant des responsabilités syndicales et l'exercice de leurs fonctions. Elle confirme qu’aucune discrimination de quelque nature que ce soit n’est appliquée dans l’entreprise.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Société fera application de l’article L.2141-5-1 du code du travail, entré en vigueur par la loi du 19 août 2015 :</w:t>
      </w:r>
    </w:p>
    <w:p>
      <w:pPr>
        <w:pStyle w:val="Normal"/>
        <w:ind w:left="-426" w:right="-238" w:hanging="0"/>
        <w:jc w:val="both"/>
        <w:rPr>
          <w:rFonts w:ascii="Calibri" w:hAnsi="Calibri" w:eastAsia="Calibri" w:cs="Calibri"/>
          <w:color w:val="000000"/>
          <w:sz w:val="20"/>
          <w:szCs w:val="20"/>
          <w:u w:val="single"/>
        </w:rPr>
      </w:pPr>
      <w:r>
        <w:rPr>
          <w:rFonts w:eastAsia="Calibri" w:cs="Calibri" w:ascii="Calibri" w:hAnsi="Calibri"/>
          <w:color w:val="000000"/>
          <w:sz w:val="20"/>
          <w:szCs w:val="20"/>
          <w:u w:val="single"/>
        </w:rPr>
      </w:r>
    </w:p>
    <w:p>
      <w:pPr>
        <w:pStyle w:val="Normal"/>
        <w:ind w:left="-426" w:right="-238" w:hanging="0"/>
        <w:jc w:val="both"/>
        <w:rPr/>
      </w:pPr>
      <w:r>
        <w:rPr>
          <w:rFonts w:eastAsia="Calibri" w:cs="Calibri" w:ascii="Calibri" w:hAnsi="Calibri"/>
          <w:color w:val="000000"/>
          <w:sz w:val="20"/>
          <w:szCs w:val="20"/>
          <w:u w:val="single"/>
        </w:rPr>
        <w:t>Article L.2141-5-1</w:t>
      </w:r>
    </w:p>
    <w:p>
      <w:pPr>
        <w:pStyle w:val="Normal"/>
        <w:shd w:fill="FFFFFF" w:val="clear"/>
        <w:ind w:left="-426" w:right="-238" w:hanging="0"/>
        <w:jc w:val="both"/>
        <w:textAlignment w:val="top"/>
        <w:rPr>
          <w:rFonts w:ascii="Calibri" w:hAnsi="Calibri" w:cs="Calibri"/>
          <w:color w:val="222222"/>
          <w:sz w:val="20"/>
          <w:szCs w:val="20"/>
        </w:rPr>
      </w:pPr>
      <w:r>
        <w:rPr>
          <w:rFonts w:cs="Calibri" w:ascii="Calibri" w:hAnsi="Calibri"/>
          <w:color w:val="222222"/>
          <w:sz w:val="20"/>
          <w:szCs w:val="20"/>
        </w:rPr>
        <w:t>En l'absence d'accord collectif de branche ou d'entreprise déterminant des garanties d'évolution de la rémunération des salariés mentionnés aux 1° à 7° de l'article L. 2411-1 et aux articles L. 2142-1-1 et L. 2411-2 au moins aussi favorables que celles mentionnées au présent article, ces salariés, lorsque le nombre d'heures de délégation dont ils disposent sur l'année dépasse 30 % de la durée de travail fixée dans leur contrat de travail ou, à défaut, de la durée applicable dans l'établissement, bénéficient d'une évolution de rémunération, au sens de l'article L. 3221-3, au moins égale, sur l'ensemble de la durée de leur mandat, aux augmentations générales et à la moyenne des augmentations individuelles perçues pendant cette période par les salariés relevant de la même catégorie professionnelle et dont l'ancienneté est comparable ou, à défaut de tels salariés, aux augmentations générales et à la moyenne des augmentations individuelles perçues dans l'entreprise.</w:t>
      </w:r>
    </w:p>
    <w:p>
      <w:pPr>
        <w:pStyle w:val="Normal"/>
        <w:ind w:right="-238" w:hanging="0"/>
        <w:rPr>
          <w:rFonts w:ascii="Calibri" w:hAnsi="Calibri" w:eastAsia="Calibri" w:cs="Calibri"/>
          <w:color w:val="222222"/>
          <w:sz w:val="20"/>
          <w:szCs w:val="20"/>
        </w:rPr>
      </w:pPr>
      <w:r>
        <w:rPr>
          <w:rFonts w:eastAsia="Calibri" w:cs="Calibri" w:ascii="Calibri" w:hAnsi="Calibri"/>
          <w:color w:val="222222"/>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11 : MESURES SPECIFIQUES A LA SOCIETE HYPERCUBE RESEARCH</w:t>
      </w:r>
    </w:p>
    <w:p>
      <w:pPr>
        <w:pStyle w:val="Normal"/>
        <w:ind w:right="-238" w:hanging="0"/>
        <w:jc w:val="both"/>
        <w:rPr>
          <w:rFonts w:ascii="Calibri" w:hAnsi="Calibri" w:eastAsia="Calibri" w:cs="Calibri"/>
          <w:b/>
          <w:b/>
          <w:color w:val="FFFFFF"/>
          <w:sz w:val="20"/>
          <w:szCs w:val="20"/>
        </w:rPr>
      </w:pPr>
      <w:r>
        <w:rPr>
          <w:rFonts w:eastAsia="Calibri" w:cs="Calibri" w:ascii="Calibri" w:hAnsi="Calibri"/>
          <w:b/>
          <w:color w:val="FFFFFF"/>
          <w:sz w:val="20"/>
          <w:szCs w:val="20"/>
        </w:rPr>
      </w:r>
    </w:p>
    <w:p>
      <w:pPr>
        <w:pStyle w:val="Normal"/>
        <w:ind w:left="-426" w:right="-238" w:hanging="0"/>
        <w:jc w:val="both"/>
        <w:rPr>
          <w:rFonts w:ascii="Calibri" w:hAnsi="Calibri" w:eastAsia="Calibri" w:cs="Calibri"/>
          <w:sz w:val="20"/>
          <w:szCs w:val="20"/>
        </w:rPr>
      </w:pPr>
      <w:r>
        <w:rPr>
          <w:rFonts w:eastAsia="Calibri" w:cs="Calibri" w:ascii="Calibri" w:hAnsi="Calibri"/>
          <w:color w:val="000000"/>
          <w:sz w:val="20"/>
          <w:szCs w:val="20"/>
        </w:rPr>
        <w:t>La Direction souhaite rendre applicable aux salariés de la Société Hypercube Research, dans les mêmes conditions, l’ensemble des dispositions applicables aux salariés de la société BearingPoint prévues dans la présente NAO ainsi que dans les précédentes, dès lors qu’aucune autre disposition spécifique n’a été expressément prévue.</w:t>
      </w:r>
    </w:p>
    <w:p>
      <w:pPr>
        <w:pStyle w:val="Normal"/>
        <w:ind w:right="-238" w:hanging="0"/>
        <w:rPr>
          <w:rFonts w:ascii="Calibri" w:hAnsi="Calibri" w:eastAsia="Calibri" w:cs="Calibri"/>
          <w:sz w:val="20"/>
          <w:szCs w:val="20"/>
        </w:rPr>
      </w:pPr>
      <w:r>
        <w:rPr>
          <w:rFonts w:eastAsia="Calibri" w:cs="Calibri" w:ascii="Calibri" w:hAnsi="Calibri"/>
          <w:sz w:val="20"/>
          <w:szCs w:val="20"/>
        </w:rPr>
      </w:r>
    </w:p>
    <w:p>
      <w:pPr>
        <w:pStyle w:val="Normal"/>
        <w:ind w:right="-238" w:hanging="0"/>
        <w:rPr>
          <w:rFonts w:ascii="Calibri" w:hAnsi="Calibri" w:eastAsia="Calibri" w:cs="Calibri"/>
          <w:sz w:val="20"/>
          <w:szCs w:val="20"/>
        </w:rPr>
      </w:pPr>
      <w:r>
        <w:rPr>
          <w:rFonts w:eastAsia="Calibri" w:cs="Calibri" w:ascii="Calibri" w:hAnsi="Calibri"/>
          <w:sz w:val="20"/>
          <w:szCs w:val="20"/>
        </w:rPr>
      </w:r>
    </w:p>
    <w:p>
      <w:pPr>
        <w:pStyle w:val="Normal"/>
        <w:ind w:right="-238" w:hanging="0"/>
        <w:rPr>
          <w:rFonts w:ascii="Calibri" w:hAnsi="Calibri" w:eastAsia="Calibri" w:cs="Calibri"/>
          <w:sz w:val="20"/>
          <w:szCs w:val="20"/>
        </w:rPr>
      </w:pPr>
      <w:r>
        <w:rPr>
          <w:rFonts w:eastAsia="Calibri" w:cs="Calibri" w:ascii="Calibri" w:hAnsi="Calibri"/>
          <w:sz w:val="20"/>
          <w:szCs w:val="20"/>
        </w:rPr>
      </w:r>
    </w:p>
    <w:p>
      <w:pPr>
        <w:pStyle w:val="Normal"/>
        <w:ind w:right="-238" w:hanging="0"/>
        <w:rPr>
          <w:rFonts w:ascii="Calibri" w:hAnsi="Calibri" w:eastAsia="Calibri" w:cs="Calibri"/>
          <w:sz w:val="20"/>
          <w:szCs w:val="20"/>
        </w:rPr>
      </w:pPr>
      <w:r>
        <w:rPr>
          <w:rFonts w:eastAsia="Calibri" w:cs="Calibri" w:ascii="Calibri" w:hAnsi="Calibri"/>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12 : MESURES SPECIFIQUES A LA SOCIETE ARCWIDE FRANCE</w:t>
      </w:r>
    </w:p>
    <w:p>
      <w:pPr>
        <w:pStyle w:val="Normal"/>
        <w:ind w:right="-238" w:hanging="0"/>
        <w:jc w:val="both"/>
        <w:rPr>
          <w:rFonts w:ascii="Calibri" w:hAnsi="Calibri" w:eastAsia="Calibri" w:cs="Calibri"/>
          <w:b/>
          <w:b/>
          <w:color w:val="FFFFFF"/>
          <w:sz w:val="20"/>
          <w:szCs w:val="20"/>
        </w:rPr>
      </w:pPr>
      <w:r>
        <w:rPr>
          <w:rFonts w:eastAsia="Calibri" w:cs="Calibri" w:ascii="Calibri" w:hAnsi="Calibri"/>
          <w:b/>
          <w:color w:val="FFFFFF"/>
          <w:sz w:val="20"/>
          <w:szCs w:val="20"/>
        </w:rPr>
      </w:r>
    </w:p>
    <w:p>
      <w:pPr>
        <w:pStyle w:val="Normal"/>
        <w:ind w:left="-426" w:right="-238" w:hanging="0"/>
        <w:jc w:val="both"/>
        <w:rPr>
          <w:rFonts w:ascii="Calibri" w:hAnsi="Calibri" w:eastAsia="Calibri" w:cs="Calibri"/>
          <w:sz w:val="20"/>
          <w:szCs w:val="20"/>
        </w:rPr>
      </w:pPr>
      <w:r>
        <w:rPr>
          <w:rFonts w:eastAsia="Calibri" w:cs="Calibri" w:ascii="Calibri" w:hAnsi="Calibri"/>
          <w:color w:val="000000"/>
          <w:sz w:val="20"/>
          <w:szCs w:val="20"/>
        </w:rPr>
        <w:t>La Direction souhaite rendre applicable aux salariés de la Société Arcwide France, dans les mêmes conditions, l’ensemble des dispositions applicables aux salariés de la société BearingPoint prévues dans la présente NAO ainsi que dans les précédentes, dès lors qu’aucune autre disposition spécifique n’a été expressément prévue.</w:t>
      </w:r>
    </w:p>
    <w:p>
      <w:pPr>
        <w:pStyle w:val="Normal"/>
        <w:pBdr>
          <w:bottom w:val="dotted" w:sz="24" w:space="1" w:color="000000"/>
        </w:pBdr>
        <w:ind w:left="-426" w:right="-238" w:hanging="0"/>
        <w:jc w:val="both"/>
        <w:rPr>
          <w:rFonts w:ascii="Calibri" w:hAnsi="Calibri" w:eastAsia="Calibri" w:cs="Calibri"/>
          <w:sz w:val="20"/>
          <w:szCs w:val="20"/>
        </w:rPr>
      </w:pPr>
      <w:r>
        <w:rPr>
          <w:rFonts w:eastAsia="Calibri" w:cs="Calibri" w:ascii="Calibri" w:hAnsi="Calibri"/>
          <w:sz w:val="20"/>
          <w:szCs w:val="20"/>
        </w:rPr>
      </w:r>
    </w:p>
    <w:p>
      <w:pPr>
        <w:pStyle w:val="Normal"/>
        <w:ind w:left="-426" w:right="-238" w:hanging="0"/>
        <w:jc w:val="both"/>
        <w:rPr>
          <w:rFonts w:ascii="Calibri" w:hAnsi="Calibri" w:eastAsia="Calibri" w:cs="Calibri"/>
          <w:sz w:val="20"/>
          <w:szCs w:val="20"/>
        </w:rPr>
      </w:pPr>
      <w:r>
        <w:rPr>
          <w:rFonts w:eastAsia="Calibri" w:cs="Calibri" w:ascii="Calibri" w:hAnsi="Calibri"/>
          <w:sz w:val="20"/>
          <w:szCs w:val="20"/>
        </w:rPr>
      </w:r>
    </w:p>
    <w:p>
      <w:pPr>
        <w:pStyle w:val="Normal"/>
        <w:ind w:left="-426" w:right="-238" w:hanging="0"/>
        <w:jc w:val="both"/>
        <w:rPr>
          <w:rFonts w:ascii="Calibri" w:hAnsi="Calibri" w:eastAsia="Calibri" w:cs="Calibri"/>
          <w:sz w:val="20"/>
          <w:szCs w:val="20"/>
        </w:rPr>
      </w:pPr>
      <w:r>
        <w:rPr>
          <w:rFonts w:eastAsia="Calibri" w:cs="Calibri" w:ascii="Calibri" w:hAnsi="Calibri"/>
          <w:color w:val="000000"/>
          <w:sz w:val="20"/>
          <w:szCs w:val="20"/>
        </w:rPr>
        <w:t>Les parties ont souhaité, d’un commun accord, arrêter les mesures suivantes pour la NAO 2022 :</w:t>
      </w:r>
    </w:p>
    <w:p>
      <w:pPr>
        <w:pStyle w:val="NormalWeb"/>
        <w:ind w:left="-284" w:right="-238" w:hanging="0"/>
        <w:jc w:val="both"/>
        <w:rPr>
          <w:rFonts w:ascii="Calibri" w:hAnsi="Calibri" w:eastAsia="Calibri" w:cs="Tahoma"/>
          <w:color w:val="000000"/>
          <w:sz w:val="20"/>
          <w:szCs w:val="20"/>
        </w:rPr>
      </w:pPr>
      <w:r>
        <w:rPr>
          <w:rFonts w:eastAsia="Calibri" w:cs="Tahoma" w:ascii="Calibri" w:hAnsi="Calibri"/>
          <w:color w:val="000000"/>
          <w:sz w:val="20"/>
          <w:szCs w:val="20"/>
        </w:rPr>
      </w:r>
    </w:p>
    <w:p>
      <w:pPr>
        <w:pStyle w:val="Normal"/>
        <w:shd w:fill="7030A0" w:val="clear"/>
        <w:ind w:left="-426" w:right="-238" w:hanging="0"/>
        <w:jc w:val="both"/>
        <w:rPr>
          <w:rFonts w:ascii="Calibri" w:hAnsi="Calibri" w:cs="Calibri"/>
          <w:color w:val="FFFFFF"/>
          <w:sz w:val="20"/>
          <w:szCs w:val="20"/>
        </w:rPr>
      </w:pPr>
      <w:r>
        <w:rPr>
          <w:rFonts w:cs="Calibri" w:ascii="Calibri" w:hAnsi="Calibri"/>
          <w:b/>
          <w:color w:val="FFFFFF"/>
          <w:sz w:val="20"/>
          <w:szCs w:val="20"/>
        </w:rPr>
        <w:t>ARTICLE 1 - REMUNERATION</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Malgré les difficultés occasionnées par le contexte pandémique et les modes de travail hybrides, BearingPoint a su maintenir un service de qualité pour ses clients, générant une excellente performance économique pour l’année 2021, permettant de proposer, à l’occasion du cycle d’évaluation YER21, une enveloppe de rémunération individuelle (augmentations/bonus) et collective conséquente pour récompenser les efforts des salariés et rétribuer le travail accompli.</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t>AUGMENTATIONS</w:t>
      </w:r>
    </w:p>
    <w:p>
      <w:pPr>
        <w:pStyle w:val="Normal"/>
        <w:ind w:left="-426" w:right="-238" w:hanging="0"/>
        <w:jc w:val="both"/>
        <w:rPr>
          <w:rFonts w:ascii="Calibri" w:hAnsi="Calibri" w:cs="Calibri"/>
          <w:b/>
          <w:b/>
          <w:bCs/>
          <w:color w:val="000000"/>
          <w:sz w:val="20"/>
          <w:szCs w:val="20"/>
          <w:u w:val="single"/>
        </w:rPr>
      </w:pPr>
      <w:r>
        <w:rPr>
          <w:rFonts w:cs="Calibri" w:ascii="Calibri" w:hAnsi="Calibri"/>
          <w:b/>
          <w:bCs/>
          <w:color w:val="000000"/>
          <w:sz w:val="20"/>
          <w:szCs w:val="20"/>
          <w:u w:val="single"/>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Les augmentations auront lieu au mois de mars 2022.</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Les salariés éligibles à augmentation sont toutes les personnes arrivées dans l’entreprise avant le 1</w:t>
      </w:r>
      <w:r>
        <w:rPr>
          <w:rFonts w:cs="Calibri" w:ascii="Calibri" w:hAnsi="Calibri"/>
          <w:color w:val="000000"/>
          <w:sz w:val="20"/>
          <w:szCs w:val="20"/>
          <w:vertAlign w:val="superscript"/>
        </w:rPr>
        <w:t>er</w:t>
      </w:r>
      <w:r>
        <w:rPr>
          <w:rFonts w:cs="Calibri" w:ascii="Calibri" w:hAnsi="Calibri"/>
          <w:color w:val="000000"/>
          <w:sz w:val="20"/>
          <w:szCs w:val="20"/>
        </w:rPr>
        <w:t xml:space="preserve"> septembre 2021 et toujours présentes au 31 mars 2022, hors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 xml:space="preserve">Partners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LOA ayant été présents moins de 4 mois sur 2021</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départs notifiés avant le 31 mars 2022</w:t>
      </w:r>
    </w:p>
    <w:p>
      <w:pPr>
        <w:pStyle w:val="Normal"/>
        <w:numPr>
          <w:ilvl w:val="0"/>
          <w:numId w:val="5"/>
        </w:numPr>
        <w:ind w:left="66" w:right="-238" w:hanging="360"/>
        <w:jc w:val="both"/>
        <w:rPr/>
      </w:pPr>
      <w:r>
        <w:rPr>
          <w:rFonts w:cs="Calibri" w:ascii="Calibri" w:hAnsi="Calibri"/>
          <w:color w:val="000000"/>
          <w:sz w:val="20"/>
          <w:szCs w:val="20"/>
        </w:rPr>
        <w:t>contrats en alternance (apprentissage et professionnalisation)</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Pour mémoire, les personnes éligibles à évaluation sont :</w:t>
      </w:r>
    </w:p>
    <w:p>
      <w:pPr>
        <w:pStyle w:val="Normal"/>
        <w:numPr>
          <w:ilvl w:val="0"/>
          <w:numId w:val="5"/>
        </w:numPr>
        <w:ind w:left="66" w:right="-238" w:hanging="360"/>
        <w:jc w:val="both"/>
        <w:rPr/>
      </w:pPr>
      <w:r>
        <w:rPr>
          <w:rFonts w:cs="Calibri" w:ascii="Calibri" w:hAnsi="Calibri"/>
          <w:color w:val="000000"/>
          <w:sz w:val="20"/>
          <w:szCs w:val="20"/>
        </w:rPr>
        <w:t>tous les salariés nous ayant rejoints le 31 août 2021 au plus tard</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les salariés présents au moins 4 mois sur 2021</w:t>
      </w:r>
    </w:p>
    <w:p>
      <w:pPr>
        <w:pStyle w:val="Normal"/>
        <w:ind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Concernant les congés maternité et congés d’adoption, les dispositions légales et réglementaires s’appliqueront - sauf si la décision d’augmentation prise par l’associé est plus favorable - pour les personnes en congé maternité entre le 15 février 2022 et le 31 mars 2022.</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L’augmentation est applicable au retour de congé maternité ou, si la personne prend un congé parental temps plein, au retour de ce congé parental. Les dispositions légales prévoient que l’application de l’augmentation intervienne dès le 1</w:t>
      </w:r>
      <w:r>
        <w:rPr>
          <w:rFonts w:cs="Calibri" w:ascii="Calibri" w:hAnsi="Calibri"/>
          <w:color w:val="000000"/>
          <w:sz w:val="20"/>
          <w:szCs w:val="20"/>
          <w:vertAlign w:val="superscript"/>
        </w:rPr>
        <w:t>er</w:t>
      </w:r>
      <w:r>
        <w:rPr>
          <w:rFonts w:cs="Calibri" w:ascii="Calibri" w:hAnsi="Calibri"/>
          <w:color w:val="000000"/>
          <w:sz w:val="20"/>
          <w:szCs w:val="20"/>
        </w:rPr>
        <w:t xml:space="preserve"> jour du mois du retour de congé maternité ou du congé parental ; la mesure appliquée par BearingPoint est plus favorable, l’augmentation intervenant dès le 1</w:t>
      </w:r>
      <w:r>
        <w:rPr>
          <w:rFonts w:cs="Calibri" w:ascii="Calibri" w:hAnsi="Calibri"/>
          <w:color w:val="000000"/>
          <w:sz w:val="20"/>
          <w:szCs w:val="20"/>
          <w:vertAlign w:val="superscript"/>
        </w:rPr>
        <w:t>er</w:t>
      </w:r>
      <w:r>
        <w:rPr>
          <w:rFonts w:cs="Calibri" w:ascii="Calibri" w:hAnsi="Calibri"/>
          <w:color w:val="000000"/>
          <w:sz w:val="20"/>
          <w:szCs w:val="20"/>
        </w:rPr>
        <w:t xml:space="preserve"> mars.</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pPr>
      <w:r>
        <w:rPr>
          <w:rFonts w:cs="Calibri" w:ascii="Calibri" w:hAnsi="Calibri"/>
          <w:color w:val="000000"/>
          <w:sz w:val="20"/>
          <w:szCs w:val="20"/>
        </w:rPr>
        <w:t xml:space="preserve">Pour l’année 2022, la société BearingPoint s’engage sur les éléments d’augmentation suivants : </w:t>
      </w:r>
    </w:p>
    <w:p>
      <w:pPr>
        <w:pStyle w:val="Heading2"/>
        <w:keepLines/>
        <w:numPr>
          <w:ilvl w:val="1"/>
          <w:numId w:val="1"/>
        </w:numPr>
        <w:ind w:left="-426" w:right="-238" w:hanging="0"/>
        <w:jc w:val="left"/>
        <w:rPr>
          <w:rFonts w:ascii="Calibri" w:hAnsi="Calibri" w:cs="Calibri"/>
          <w:color w:val="000000"/>
          <w:sz w:val="20"/>
          <w:szCs w:val="20"/>
        </w:rPr>
      </w:pPr>
      <w:r>
        <w:rPr>
          <w:rFonts w:cs="Calibri" w:ascii="Calibri" w:hAnsi="Calibri"/>
          <w:color w:val="000000"/>
          <w:sz w:val="20"/>
          <w:szCs w:val="20"/>
        </w:rPr>
      </w:r>
    </w:p>
    <w:p>
      <w:pPr>
        <w:pStyle w:val="Heading2"/>
        <w:keepLines/>
        <w:numPr>
          <w:ilvl w:val="2"/>
          <w:numId w:val="3"/>
        </w:numPr>
        <w:ind w:left="284" w:right="-238" w:hanging="710"/>
        <w:jc w:val="left"/>
        <w:rPr/>
      </w:pPr>
      <w:r>
        <w:rPr>
          <w:rFonts w:cs="Calibri" w:ascii="Calibri" w:hAnsi="Calibri"/>
          <w:color w:val="00B0F0"/>
          <w:sz w:val="20"/>
          <w:szCs w:val="20"/>
        </w:rPr>
        <w:t>Population Consultant</w:t>
      </w:r>
    </w:p>
    <w:p>
      <w:pPr>
        <w:pStyle w:val="Paragraphedeliste"/>
        <w:tabs>
          <w:tab w:val="left" w:pos="0" w:leader="none"/>
        </w:tabs>
        <w:ind w:left="294" w:right="-238" w:hanging="0"/>
        <w:jc w:val="both"/>
        <w:rPr>
          <w:rFonts w:ascii="Calibri" w:hAnsi="Calibri" w:cs="Calibri"/>
          <w:color w:val="000000"/>
          <w:sz w:val="20"/>
          <w:szCs w:val="20"/>
        </w:rPr>
      </w:pPr>
      <w:r>
        <w:rPr>
          <w:rFonts w:cs="Calibri"/>
          <w:color w:val="000000"/>
          <w:sz w:val="20"/>
          <w:szCs w:val="20"/>
        </w:rPr>
      </w:r>
    </w:p>
    <w:p>
      <w:pPr>
        <w:pStyle w:val="Paragraphedeliste"/>
        <w:tabs>
          <w:tab w:val="left" w:pos="0" w:leader="none"/>
        </w:tabs>
        <w:ind w:left="-426" w:right="-238" w:hanging="0"/>
        <w:jc w:val="both"/>
        <w:rPr>
          <w:rFonts w:cs="Calibri"/>
          <w:color w:val="000000"/>
          <w:sz w:val="20"/>
          <w:szCs w:val="20"/>
        </w:rPr>
      </w:pPr>
      <w:r>
        <w:rPr>
          <w:rFonts w:cs="Calibri"/>
          <w:color w:val="000000"/>
          <w:sz w:val="20"/>
          <w:szCs w:val="20"/>
        </w:rPr>
        <w:t>L’enveloppe d’augmentation pour 2022 représentera 4,875K€ y compris cotisations patronales soit 6,8% de la masse salariale brute de la population éligible à augmentation à la date d’effet des augmentations.</w:t>
      </w:r>
    </w:p>
    <w:p>
      <w:pPr>
        <w:pStyle w:val="Paragraphedeliste"/>
        <w:tabs>
          <w:tab w:val="left" w:pos="0" w:leader="none"/>
        </w:tabs>
        <w:ind w:left="-425" w:right="-238" w:hanging="0"/>
        <w:jc w:val="both"/>
        <w:rPr>
          <w:rFonts w:cs="Calibri"/>
          <w:color w:val="000000"/>
          <w:sz w:val="20"/>
          <w:szCs w:val="20"/>
        </w:rPr>
      </w:pPr>
      <w:r>
        <w:rPr>
          <w:rFonts w:cs="Calibri"/>
          <w:color w:val="000000"/>
          <w:sz w:val="20"/>
          <w:szCs w:val="20"/>
        </w:rPr>
      </w:r>
    </w:p>
    <w:p>
      <w:pPr>
        <w:pStyle w:val="Paragraphedeliste"/>
        <w:tabs>
          <w:tab w:val="left" w:pos="0" w:leader="none"/>
        </w:tabs>
        <w:ind w:left="-425" w:right="-238" w:hanging="0"/>
        <w:jc w:val="both"/>
        <w:rPr>
          <w:rFonts w:cs="Calibri"/>
          <w:color w:val="000000"/>
          <w:sz w:val="20"/>
          <w:szCs w:val="20"/>
        </w:rPr>
      </w:pPr>
      <w:r>
        <w:rPr>
          <w:rFonts w:cs="Calibri"/>
          <w:color w:val="000000"/>
          <w:sz w:val="20"/>
          <w:szCs w:val="20"/>
        </w:rPr>
        <w:t>Tous les consultants, quelle que soit leur note de performance et leur date d’arrivée, seront positionnés à la nouvelle grille de rémunération fixe.</w:t>
      </w:r>
    </w:p>
    <w:p>
      <w:pPr>
        <w:pStyle w:val="Paragraphedeliste"/>
        <w:tabs>
          <w:tab w:val="left" w:pos="0" w:leader="none"/>
        </w:tabs>
        <w:ind w:left="-425" w:right="-238" w:hanging="0"/>
        <w:jc w:val="both"/>
        <w:rPr>
          <w:rFonts w:cs="Calibri"/>
          <w:color w:val="000000"/>
          <w:sz w:val="20"/>
          <w:szCs w:val="20"/>
        </w:rPr>
      </w:pPr>
      <w:r>
        <w:rPr>
          <w:rFonts w:cs="Calibri"/>
          <w:color w:val="000000"/>
          <w:sz w:val="20"/>
          <w:szCs w:val="20"/>
        </w:rPr>
        <w:t>En revanche, les consultants, dont le salaire est déjà positionné à la grille, ne bénéficieront pas d’augmentation (hors promotion).</w:t>
      </w:r>
    </w:p>
    <w:p>
      <w:pPr>
        <w:pStyle w:val="Paragraphedeliste"/>
        <w:tabs>
          <w:tab w:val="left" w:pos="0" w:leader="none"/>
        </w:tabs>
        <w:ind w:left="-425" w:right="-238" w:hanging="0"/>
        <w:jc w:val="both"/>
        <w:rPr>
          <w:rFonts w:cs="Calibri"/>
          <w:color w:val="000000"/>
          <w:sz w:val="20"/>
          <w:szCs w:val="20"/>
        </w:rPr>
      </w:pPr>
      <w:r>
        <w:rPr>
          <w:rFonts w:cs="Calibri"/>
          <w:color w:val="000000"/>
          <w:sz w:val="20"/>
          <w:szCs w:val="20"/>
        </w:rPr>
      </w:r>
    </w:p>
    <w:p>
      <w:pPr>
        <w:pStyle w:val="Paragraphedeliste"/>
        <w:ind w:left="-425" w:right="-238" w:hanging="0"/>
        <w:jc w:val="both"/>
        <w:rPr>
          <w:rFonts w:cs="Calibri"/>
          <w:b/>
          <w:b/>
          <w:bCs/>
          <w:color w:val="7030A0"/>
          <w:sz w:val="20"/>
          <w:szCs w:val="20"/>
        </w:rPr>
      </w:pPr>
      <w:r>
        <w:rPr>
          <w:rFonts w:cs="Calibri"/>
          <w:b/>
          <w:bCs/>
          <w:color w:val="7030A0"/>
          <w:sz w:val="20"/>
          <w:szCs w:val="20"/>
        </w:rPr>
        <w:t>« Consultants » en dessous du grade Manager</w:t>
      </w:r>
    </w:p>
    <w:p>
      <w:pPr>
        <w:pStyle w:val="Paragraphedeliste"/>
        <w:tabs>
          <w:tab w:val="left" w:pos="0" w:leader="none"/>
        </w:tabs>
        <w:ind w:left="-425" w:right="-238" w:hanging="0"/>
        <w:jc w:val="both"/>
        <w:rPr>
          <w:rFonts w:cs="Calibri"/>
          <w:b/>
          <w:b/>
          <w:bCs/>
          <w:color w:val="000000"/>
          <w:sz w:val="20"/>
          <w:szCs w:val="20"/>
        </w:rPr>
      </w:pPr>
      <w:r>
        <w:rPr>
          <w:rFonts w:cs="Calibri"/>
          <w:b/>
          <w:bCs/>
          <w:color w:val="000000"/>
          <w:sz w:val="20"/>
          <w:szCs w:val="20"/>
        </w:rPr>
      </w:r>
    </w:p>
    <w:p>
      <w:pPr>
        <w:pStyle w:val="Normal"/>
        <w:ind w:left="-425" w:right="-238" w:hanging="0"/>
        <w:jc w:val="both"/>
        <w:rPr>
          <w:rFonts w:ascii="Calibri" w:hAnsi="Calibri" w:eastAsia="Calibri" w:cs="Calibri"/>
          <w:color w:val="000000"/>
          <w:sz w:val="20"/>
          <w:szCs w:val="20"/>
        </w:rPr>
      </w:pPr>
      <w:r>
        <w:rPr>
          <w:rFonts w:eastAsia="Calibri" w:cs="Calibri" w:ascii="Calibri" w:hAnsi="Calibri"/>
          <w:color w:val="000000"/>
          <w:sz w:val="20"/>
          <w:szCs w:val="20"/>
        </w:rPr>
        <w:t>La grille de salaires des « staff » (en-dessous du grade de Manager) évolue chaque année pour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proposer des rémunérations attractives, en lien avec les salaires de marché</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harmoniser les rémunérations de chaque grade</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gommer progressivement les différences de rémunération entre périmètres écoles des grades analyst et consultant</w:t>
      </w:r>
    </w:p>
    <w:p>
      <w:pPr>
        <w:pStyle w:val="Paragraphedeliste"/>
        <w:tabs>
          <w:tab w:val="left" w:pos="0" w:leader="none"/>
        </w:tabs>
        <w:ind w:left="-425" w:right="-238" w:hanging="0"/>
        <w:jc w:val="both"/>
        <w:rPr>
          <w:rFonts w:cs="Calibri"/>
          <w:color w:val="000000"/>
          <w:sz w:val="20"/>
          <w:szCs w:val="20"/>
        </w:rPr>
      </w:pPr>
      <w:r>
        <w:rPr>
          <w:rFonts w:cs="Calibri"/>
          <w:color w:val="000000"/>
          <w:sz w:val="20"/>
          <w:szCs w:val="20"/>
        </w:rPr>
        <w:t>Une nouvelle grille de salaire est désormais applicable au 1</w:t>
      </w:r>
      <w:r>
        <w:rPr>
          <w:rFonts w:cs="Calibri"/>
          <w:color w:val="000000"/>
          <w:sz w:val="20"/>
          <w:szCs w:val="20"/>
          <w:vertAlign w:val="superscript"/>
        </w:rPr>
        <w:t>er</w:t>
      </w:r>
      <w:r>
        <w:rPr>
          <w:rFonts w:cs="Calibri"/>
          <w:color w:val="000000"/>
          <w:sz w:val="20"/>
          <w:szCs w:val="20"/>
        </w:rPr>
        <w:t xml:space="preserve"> mars 2022, étant précisé qu’elle avait déjà été partiellement mise en œuvre en septembre 2021 pour le grade Analyst, et généralisée aux autres grades en mars 2022. Cette nouvelle grille, qui se veut plus dynamique en proposant des pourcentages d’augmentations plus élevés à l’intérieur de chaque grade entre 2 promotions, répond aux attentes des salariés et à nos enjeux de rétention.</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Les principes et spécificités sont les suivants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analysts ont bénéficié d’une revalorisation de salaires en septembre 2021, sauf ceux déjà positionnés à la nouvelle grille de salaires</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analysts non promus sont tous positionnés à la nouvelle grille de salaire des analysts expérimentés</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les analysts promus au grade de consultant et les consultants promus au grade de senior consultant sont tous positionnés à la grille de promotion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consultants et senior consultants non promus sont tous positionnés à la nouvelle grille de salaire des C/SC expérimentés</w:t>
      </w:r>
    </w:p>
    <w:p>
      <w:pPr>
        <w:pStyle w:val="Normal"/>
        <w:ind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Paragraphedeliste"/>
        <w:ind w:left="-426" w:right="-238" w:hanging="0"/>
        <w:jc w:val="both"/>
        <w:rPr>
          <w:rFonts w:cs="Calibri"/>
          <w:b/>
          <w:b/>
          <w:iCs/>
          <w:color w:val="7030A0"/>
          <w:sz w:val="21"/>
          <w:szCs w:val="21"/>
        </w:rPr>
      </w:pPr>
      <w:r>
        <w:rPr>
          <w:rFonts w:cs="Calibri"/>
          <w:b/>
          <w:iCs/>
          <w:color w:val="7030A0"/>
          <w:sz w:val="21"/>
          <w:szCs w:val="21"/>
        </w:rPr>
        <w:t>Grades de Manager et plus</w:t>
      </w:r>
    </w:p>
    <w:p>
      <w:pPr>
        <w:pStyle w:val="Paragraphedeliste"/>
        <w:ind w:left="-426" w:right="-238" w:hanging="0"/>
        <w:jc w:val="both"/>
        <w:rPr>
          <w:rFonts w:cs="Calibri"/>
          <w:b/>
          <w:b/>
          <w:i/>
          <w:i/>
          <w:iCs/>
          <w:color w:val="000000"/>
          <w:sz w:val="21"/>
          <w:szCs w:val="21"/>
        </w:rPr>
      </w:pPr>
      <w:r>
        <w:rPr>
          <w:rFonts w:cs="Calibri"/>
          <w:b/>
          <w:i/>
          <w:iCs/>
          <w:color w:val="000000"/>
          <w:sz w:val="21"/>
          <w:szCs w:val="21"/>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L’entreprise ne souhaite pas mettre en place une grille de salaires figée pour les grades de Manager/Senior Manager/Director, mais souhaite appliquer des rémunérations seuils minimales.</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Ainsi, pour 2022, les rémunérations seuils des nouveaux promus sont revalorisées dans les conditions suivantes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promotion Manager : rémunération seuil minimale brute annuelle de 70K€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promotion Senior Manager : rémunération seuil minimale brute annuelle de 82K€</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La rémunération seuil du grade Director reste inchangée et est fixée à 125K€ bruts annuels.</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u w:val="single"/>
        </w:rPr>
      </w:pPr>
      <w:r>
        <w:rPr>
          <w:rFonts w:eastAsia="Calibri" w:cs="Calibri" w:ascii="Calibri" w:hAnsi="Calibri"/>
          <w:color w:val="000000"/>
          <w:sz w:val="20"/>
          <w:szCs w:val="20"/>
          <w:u w:val="single"/>
        </w:rPr>
        <w:t>Statut Advanced</w:t>
      </w:r>
    </w:p>
    <w:p>
      <w:pPr>
        <w:pStyle w:val="Normal"/>
        <w:ind w:left="-426" w:right="-7" w:hanging="0"/>
        <w:jc w:val="both"/>
        <w:rPr>
          <w:rFonts w:ascii="Calibri" w:hAnsi="Calibri" w:eastAsia="Calibri" w:cs="Calibri"/>
          <w:color w:val="000000"/>
          <w:sz w:val="20"/>
          <w:szCs w:val="20"/>
          <w:u w:val="single"/>
        </w:rPr>
      </w:pPr>
      <w:r>
        <w:rPr>
          <w:rFonts w:eastAsia="Calibri" w:cs="Calibri" w:ascii="Calibri" w:hAnsi="Calibri"/>
          <w:color w:val="000000"/>
          <w:sz w:val="20"/>
          <w:szCs w:val="20"/>
          <w:u w:val="single"/>
        </w:rPr>
      </w:r>
    </w:p>
    <w:p>
      <w:pPr>
        <w:pStyle w:val="Normal"/>
        <w:ind w:left="-426" w:right="-7" w:hanging="0"/>
        <w:jc w:val="both"/>
        <w:rPr/>
      </w:pPr>
      <w:r>
        <w:rPr>
          <w:rFonts w:eastAsia="Calibri" w:cs="Calibri" w:ascii="Calibri" w:hAnsi="Calibri"/>
          <w:color w:val="000000"/>
          <w:sz w:val="20"/>
          <w:szCs w:val="20"/>
        </w:rPr>
        <w:t xml:space="preserve">Le statut Advanced des grades Manager et Senior Manager officialise un potentiel d’évolution avéré pour accéder au grade supérieur :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un Manager Advanced est un manager que les partners projettent au grade Senior Manager au moment de l’évaluation</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un Senior Manager Advanced est un senior manager que les partners projettent Director ou Partner au moment de l’évaluation</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Ce statut Advanced se traduit notamment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par des objectifs individuels ambitieux en termes de développement commercial</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un impact positif sur la rémunération avec un salaire cible associé :</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rémunération brute annuelle de 75k€ pour un Manager Advanced</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rémunération brute annuelle cible de 95k€ pour un Senior Manager Advanced avec une augmentation en 2 temps pour se rapprocher du salaire cible : 88k€ en 2022</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pPr>
      <w:r>
        <w:rPr>
          <w:rFonts w:eastAsia="Calibri" w:cs="Calibri" w:ascii="Calibri" w:hAnsi="Calibri"/>
          <w:color w:val="000000"/>
          <w:sz w:val="20"/>
          <w:szCs w:val="20"/>
        </w:rPr>
        <w:t>Comme l’an dernier, les augmentations seront plafonnées pour ces personnes à 10%. Si les personnes positionnées en Advanced ont déjà un salaire supérieur au salaire cible, il n’y aura pas d’augmentation.</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Les augmentations des managers, seniors managers et DA interviennent dans les conditions ci-après :</w:t>
      </w:r>
    </w:p>
    <w:p>
      <w:pPr>
        <w:pStyle w:val="Normal"/>
        <w:numPr>
          <w:ilvl w:val="0"/>
          <w:numId w:val="5"/>
        </w:numPr>
        <w:ind w:left="66" w:right="-7" w:hanging="360"/>
        <w:jc w:val="both"/>
        <w:rPr/>
      </w:pPr>
      <w:r>
        <w:rPr>
          <w:rFonts w:eastAsia="Calibri" w:cs="Calibri" w:ascii="Calibri" w:hAnsi="Calibri"/>
          <w:color w:val="000000"/>
          <w:sz w:val="20"/>
          <w:szCs w:val="20"/>
        </w:rPr>
        <w:t>promotions aux grades de Manager, Senior Manager et Directeur Associé</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positionnement au statut Advanced</w:t>
      </w:r>
    </w:p>
    <w:p>
      <w:pPr>
        <w:pStyle w:val="Normal"/>
        <w:numPr>
          <w:ilvl w:val="0"/>
          <w:numId w:val="5"/>
        </w:numPr>
        <w:ind w:left="66" w:right="-7" w:hanging="360"/>
        <w:jc w:val="both"/>
        <w:rPr/>
      </w:pPr>
      <w:r>
        <w:rPr>
          <w:rFonts w:eastAsia="Calibri" w:cs="Calibri" w:ascii="Calibri" w:hAnsi="Calibri"/>
          <w:color w:val="000000"/>
          <w:sz w:val="20"/>
          <w:szCs w:val="20"/>
        </w:rPr>
        <w:t>second pallier (pour atteindre le salaire cible) des personnes positionnées en 2021 au statut Senior Manager Advanced et dont le salaire n’avait pas été porté à 95K€ du fait du plafonnement</w:t>
      </w:r>
    </w:p>
    <w:p>
      <w:pPr>
        <w:pStyle w:val="Normal"/>
        <w:numPr>
          <w:ilvl w:val="0"/>
          <w:numId w:val="5"/>
        </w:numPr>
        <w:ind w:left="66" w:right="-7" w:hanging="360"/>
        <w:jc w:val="both"/>
        <w:rPr/>
      </w:pPr>
      <w:r>
        <w:rPr>
          <w:rFonts w:eastAsia="Calibri" w:cs="Calibri" w:ascii="Calibri" w:hAnsi="Calibri"/>
          <w:color w:val="000000"/>
          <w:sz w:val="20"/>
          <w:szCs w:val="20"/>
        </w:rPr>
        <w:t>salariées concernées par les dispositions légales et réglementaires en matière de congé maternité et congé d’adoption</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application de l’article L.2141-5-1 du code du travail</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Enfin, et quel que soit le grade, des exceptions à ces règles, validées par le Comex, pourront éventuellement être appliquées et expliquées aux collaborateurs concernés.</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t>Nouveau Path Expert</w:t>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 path Expert a été mis en place comme une filière d’excellence, pour le développement du business avec des trajectoires de carrière attractives et un package de rémunération compétitif. La mise en place de cette nouvelle filière a fait l’objet d’une consultation du CSE en février 2022.</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Types d’expertise ciblés : compétences fonctionnelles &amp; technologiques</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3 niveaux ont été définis :</w:t>
      </w:r>
    </w:p>
    <w:p>
      <w:pPr>
        <w:pStyle w:val="Normal"/>
        <w:numPr>
          <w:ilvl w:val="0"/>
          <w:numId w:val="5"/>
        </w:numPr>
        <w:ind w:left="66" w:right="-7" w:hanging="360"/>
        <w:jc w:val="both"/>
        <w:rPr/>
      </w:pPr>
      <w:r>
        <w:rPr>
          <w:rFonts w:eastAsia="Calibri" w:cs="Calibri" w:ascii="Calibri" w:hAnsi="Calibri"/>
          <w:color w:val="000000"/>
          <w:sz w:val="20"/>
          <w:szCs w:val="20"/>
        </w:rPr>
        <w:t>expert : 4 à 8 ans d’expérience</w:t>
      </w:r>
    </w:p>
    <w:p>
      <w:pPr>
        <w:pStyle w:val="Normal"/>
        <w:numPr>
          <w:ilvl w:val="0"/>
          <w:numId w:val="5"/>
        </w:numPr>
        <w:ind w:left="66" w:right="-7" w:hanging="360"/>
        <w:jc w:val="both"/>
        <w:rPr/>
      </w:pPr>
      <w:r>
        <w:rPr>
          <w:rFonts w:eastAsia="Calibri" w:cs="Calibri" w:ascii="Calibri" w:hAnsi="Calibri"/>
          <w:color w:val="000000"/>
          <w:sz w:val="20"/>
          <w:szCs w:val="20"/>
        </w:rPr>
        <w:t>senior expert : 6 à 12 ans d’expérience</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expertise director : </w:t>
      </w:r>
      <w:r>
        <w:rPr>
          <w:rFonts w:eastAsia="Calibri" w:cs="Calibri" w:ascii="Calibri" w:hAnsi="Calibri"/>
          <w:color w:val="000000"/>
          <w:sz w:val="18"/>
          <w:szCs w:val="18"/>
        </w:rPr>
        <w:t>&gt;</w:t>
      </w:r>
      <w:r>
        <w:rPr>
          <w:rFonts w:eastAsia="Calibri" w:cs="Calibri" w:ascii="Calibri" w:hAnsi="Calibri"/>
          <w:color w:val="000000"/>
          <w:sz w:val="20"/>
          <w:szCs w:val="20"/>
        </w:rPr>
        <w:t>12 ans d’expérience</w:t>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Des fourchettes de salaire fixe ont été définis à chaque niveau, en lien avec les salaires de marché :</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expert : de 60 à 85k€</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senior expert : de 90 à 120k€</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expertise director : de 125 à 160k€</w:t>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r>
    </w:p>
    <w:p>
      <w:pPr>
        <w:pStyle w:val="Normal"/>
        <w:ind w:left="-426" w:right="-7" w:hanging="0"/>
        <w:jc w:val="both"/>
        <w:rPr>
          <w:rFonts w:ascii="Calibri" w:hAnsi="Calibri" w:eastAsia="Calibri" w:cs="Calibri"/>
          <w:sz w:val="20"/>
          <w:szCs w:val="20"/>
        </w:rPr>
      </w:pPr>
      <w:r>
        <w:rPr>
          <w:rFonts w:eastAsia="Calibri" w:cs="Calibri" w:ascii="Calibri" w:hAnsi="Calibri"/>
          <w:sz w:val="20"/>
          <w:szCs w:val="20"/>
        </w:rPr>
        <w:t>En matière d’objectifs annuels, ces experts devront atteindre des minimum contributions (requirements) et auront des objectifs qualitatifs individuels :</w:t>
      </w:r>
    </w:p>
    <w:p>
      <w:pPr>
        <w:pStyle w:val="Normal"/>
        <w:numPr>
          <w:ilvl w:val="0"/>
          <w:numId w:val="5"/>
        </w:numPr>
        <w:ind w:left="66" w:right="-7" w:hanging="360"/>
        <w:jc w:val="both"/>
        <w:rPr>
          <w:rFonts w:ascii="Calibri" w:hAnsi="Calibri" w:eastAsia="Calibri" w:cs="Calibri"/>
          <w:sz w:val="20"/>
          <w:szCs w:val="20"/>
        </w:rPr>
      </w:pPr>
      <w:r>
        <w:rPr>
          <w:rFonts w:eastAsia="Calibri" w:cs="Calibri" w:ascii="Calibri" w:hAnsi="Calibri"/>
          <w:sz w:val="20"/>
          <w:szCs w:val="20"/>
        </w:rPr>
        <w:t>Minimum requirements sur bookings et production (comme pour le Path Management)</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Taux d’utilization &gt; path Management (à définir)</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Autres KPIs : nombre de clients/an, nombre de propales gagnantes pour lesquelles l’expert a fortement contribué</w:t>
      </w:r>
    </w:p>
    <w:p>
      <w:pPr>
        <w:pStyle w:val="Normal"/>
        <w:numPr>
          <w:ilvl w:val="0"/>
          <w:numId w:val="5"/>
        </w:numPr>
        <w:ind w:left="66" w:right="-7"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Objectifs HOW individuels regroupés en 3 dimensions : </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Client &amp; Sales</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Markets &amp; Content</w:t>
      </w:r>
    </w:p>
    <w:p>
      <w:pPr>
        <w:pStyle w:val="Normal"/>
        <w:numPr>
          <w:ilvl w:val="1"/>
          <w:numId w:val="5"/>
        </w:numPr>
        <w:ind w:left="654" w:right="-7" w:hanging="360"/>
        <w:jc w:val="both"/>
        <w:rPr>
          <w:rFonts w:ascii="Calibri" w:hAnsi="Calibri" w:eastAsia="Calibri" w:cs="Calibri"/>
          <w:color w:val="000000"/>
          <w:sz w:val="20"/>
          <w:szCs w:val="20"/>
        </w:rPr>
      </w:pPr>
      <w:r>
        <w:rPr>
          <w:rFonts w:eastAsia="Calibri" w:cs="Calibri" w:ascii="Calibri" w:hAnsi="Calibri"/>
          <w:color w:val="000000"/>
          <w:sz w:val="20"/>
          <w:szCs w:val="20"/>
        </w:rPr>
        <w:t>People</w:t>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r>
    </w:p>
    <w:p>
      <w:pPr>
        <w:pStyle w:val="Normal"/>
        <w:ind w:left="-426" w:right="-7" w:hanging="0"/>
        <w:jc w:val="both"/>
        <w:rPr>
          <w:rFonts w:ascii="Calibri" w:hAnsi="Calibri" w:eastAsia="Calibri" w:cs="Calibri"/>
          <w:b/>
          <w:b/>
          <w:bCs/>
          <w:color w:val="7030A0"/>
          <w:sz w:val="20"/>
          <w:szCs w:val="20"/>
        </w:rPr>
      </w:pPr>
      <w:r>
        <w:rPr>
          <w:rFonts w:eastAsia="Calibri" w:cs="Calibri" w:ascii="Calibri" w:hAnsi="Calibri"/>
          <w:b/>
          <w:bCs/>
          <w:color w:val="7030A0"/>
          <w:sz w:val="20"/>
          <w:szCs w:val="20"/>
        </w:rPr>
        <w:t>Partners</w:t>
      </w:r>
    </w:p>
    <w:p>
      <w:pPr>
        <w:pStyle w:val="Normal"/>
        <w:ind w:left="-426" w:right="-7" w:hanging="0"/>
        <w:jc w:val="both"/>
        <w:rPr>
          <w:rFonts w:ascii="Calibri" w:hAnsi="Calibri" w:eastAsia="Calibri" w:cs="Calibri"/>
          <w:b/>
          <w:b/>
          <w:bCs/>
          <w:color w:val="000000"/>
          <w:sz w:val="20"/>
          <w:szCs w:val="20"/>
        </w:rPr>
      </w:pPr>
      <w:r>
        <w:rPr>
          <w:rFonts w:eastAsia="Calibri" w:cs="Calibri" w:ascii="Calibri" w:hAnsi="Calibri"/>
          <w:b/>
          <w:bCs/>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 plan de rémunération des Partners étant défini au niveau du Groupe, la Direction française ne peut prendre aucun engagement sur cette population.</w:t>
      </w:r>
    </w:p>
    <w:p>
      <w:pPr>
        <w:pStyle w:val="Paragraphedeliste"/>
        <w:tabs>
          <w:tab w:val="left" w:pos="0" w:leader="none"/>
          <w:tab w:val="left" w:pos="851" w:leader="none"/>
        </w:tabs>
        <w:ind w:left="-426" w:right="-238" w:hanging="0"/>
        <w:jc w:val="both"/>
        <w:rPr>
          <w:rFonts w:ascii="Calibri" w:hAnsi="Calibri" w:eastAsia="Calibri" w:cs="Calibri"/>
          <w:b/>
          <w:b/>
          <w:color w:val="000000"/>
          <w:sz w:val="20"/>
          <w:szCs w:val="20"/>
        </w:rPr>
      </w:pPr>
      <w:r>
        <w:rPr>
          <w:rFonts w:eastAsia="Calibri" w:cs="Calibri"/>
          <w:b/>
          <w:color w:val="000000"/>
          <w:sz w:val="20"/>
          <w:szCs w:val="20"/>
        </w:rPr>
      </w:r>
    </w:p>
    <w:p>
      <w:pPr>
        <w:pStyle w:val="Heading2"/>
        <w:keepLines/>
        <w:numPr>
          <w:ilvl w:val="2"/>
          <w:numId w:val="3"/>
        </w:numPr>
        <w:ind w:left="284" w:right="-238" w:hanging="710"/>
        <w:jc w:val="left"/>
        <w:rPr>
          <w:rFonts w:ascii="Calibri" w:hAnsi="Calibri" w:cs="Calibri"/>
          <w:color w:val="00B0F0"/>
          <w:sz w:val="20"/>
          <w:szCs w:val="20"/>
        </w:rPr>
      </w:pPr>
      <w:r>
        <w:rPr>
          <w:rFonts w:cs="Calibri" w:ascii="Calibri" w:hAnsi="Calibri"/>
          <w:color w:val="00B0F0"/>
          <w:sz w:val="20"/>
          <w:szCs w:val="20"/>
        </w:rPr>
        <w:t>Population « Support »</w:t>
      </w:r>
    </w:p>
    <w:p>
      <w:pPr>
        <w:pStyle w:val="Normal"/>
        <w:ind w:right="-238" w:hanging="0"/>
        <w:jc w:val="both"/>
        <w:rPr>
          <w:rFonts w:ascii="Calibri" w:hAnsi="Calibri" w:cs="Calibri"/>
          <w:color w:val="000000"/>
          <w:sz w:val="20"/>
          <w:szCs w:val="20"/>
        </w:rPr>
      </w:pPr>
      <w:r>
        <w:rPr>
          <w:rFonts w:cs="Calibri" w:ascii="Calibri" w:hAnsi="Calibri"/>
          <w:color w:val="000000"/>
          <w:sz w:val="20"/>
          <w:szCs w:val="20"/>
        </w:rPr>
      </w:r>
    </w:p>
    <w:p>
      <w:pPr>
        <w:pStyle w:val="Paragraphedeliste"/>
        <w:tabs>
          <w:tab w:val="left" w:pos="-142" w:leader="none"/>
        </w:tabs>
        <w:ind w:left="-426" w:right="-238" w:hanging="0"/>
        <w:jc w:val="both"/>
        <w:rPr/>
      </w:pPr>
      <w:r>
        <w:rPr>
          <w:rFonts w:cs="Calibri"/>
          <w:color w:val="000000"/>
          <w:sz w:val="20"/>
          <w:szCs w:val="20"/>
        </w:rPr>
        <w:t>L’enveloppe d’augmentation pour 2022 représentera 170k€ y compris cotisations patronales, soit 3% de la masse salariale brute de la population « support » éligible à augmentation à la date d’effet des augmentations.</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Les principes d’augmentation 2022 pour la population Support sont inchangés par rapport à 2021.</w:t>
      </w:r>
    </w:p>
    <w:p>
      <w:pPr>
        <w:pStyle w:val="Normal"/>
        <w:tabs>
          <w:tab w:val="left" w:pos="-142" w:leader="none"/>
          <w:tab w:val="left" w:pos="284" w:leader="none"/>
        </w:tabs>
        <w:ind w:left="-426" w:right="-238" w:hanging="0"/>
        <w:jc w:val="both"/>
        <w:rPr>
          <w:rFonts w:ascii="Calibri" w:hAnsi="Calibri" w:cs="Calibri"/>
          <w:sz w:val="20"/>
          <w:szCs w:val="20"/>
        </w:rPr>
      </w:pPr>
      <w:r>
        <w:rPr>
          <w:rFonts w:cs="Calibri" w:ascii="Calibri" w:hAnsi="Calibri"/>
          <w:sz w:val="20"/>
          <w:szCs w:val="20"/>
        </w:rPr>
        <w:t>Les règles d’augmentation sont les suivantes :</w:t>
      </w:r>
    </w:p>
    <w:p>
      <w:pPr>
        <w:pStyle w:val="Normal"/>
        <w:tabs>
          <w:tab w:val="left" w:pos="-142" w:leader="none"/>
          <w:tab w:val="left" w:pos="284" w:leader="none"/>
        </w:tabs>
        <w:ind w:left="-426" w:right="-238" w:hanging="0"/>
        <w:jc w:val="both"/>
        <w:rPr>
          <w:rFonts w:ascii="Calibri" w:hAnsi="Calibri" w:cs="Calibri"/>
          <w:sz w:val="20"/>
          <w:szCs w:val="20"/>
        </w:rPr>
      </w:pPr>
      <w:r>
        <w:rPr>
          <w:rFonts w:cs="Calibri" w:ascii="Calibri" w:hAnsi="Calibri"/>
          <w:sz w:val="20"/>
          <w:szCs w:val="20"/>
        </w:rPr>
      </w:r>
    </w:p>
    <w:tbl>
      <w:tblPr>
        <w:tblW w:w="7807" w:type="dxa"/>
        <w:jc w:val="left"/>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60" w:type="dxa"/>
          <w:bottom w:w="0" w:type="dxa"/>
          <w:right w:w="70" w:type="dxa"/>
        </w:tblCellMar>
      </w:tblPr>
      <w:tblGrid>
        <w:gridCol w:w="3468"/>
        <w:gridCol w:w="993"/>
        <w:gridCol w:w="1275"/>
        <w:gridCol w:w="993"/>
        <w:gridCol w:w="1078"/>
      </w:tblGrid>
      <w:tr>
        <w:trPr>
          <w:trHeight w:val="300" w:hRule="atLeast"/>
        </w:trPr>
        <w:tc>
          <w:tcPr>
            <w:tcW w:w="7807" w:type="dxa"/>
            <w:gridSpan w:val="5"/>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7030A0" w:val="clear"/>
            <w:tcMar>
              <w:left w:w="60" w:type="dxa"/>
            </w:tcMar>
            <w:vAlign w:val="bottom"/>
          </w:tcPr>
          <w:p>
            <w:pPr>
              <w:pStyle w:val="Normal"/>
              <w:jc w:val="center"/>
              <w:rPr>
                <w:rFonts w:ascii="Calibri" w:hAnsi="Calibri" w:cs="Calibri"/>
                <w:b/>
                <w:b/>
                <w:bCs/>
                <w:color w:val="E2C5FF"/>
                <w:sz w:val="20"/>
                <w:szCs w:val="20"/>
              </w:rPr>
            </w:pPr>
            <w:r>
              <w:rPr>
                <w:rFonts w:cs="Calibri" w:ascii="Calibri" w:hAnsi="Calibri"/>
                <w:b/>
                <w:bCs/>
                <w:color w:val="E2C5FF"/>
                <w:sz w:val="20"/>
                <w:szCs w:val="20"/>
              </w:rPr>
              <w:t>Grille augmentation mars 2022</w:t>
            </w:r>
          </w:p>
        </w:tc>
      </w:tr>
      <w:tr>
        <w:trPr>
          <w:trHeight w:val="300" w:hRule="atLeast"/>
        </w:trPr>
        <w:tc>
          <w:tcPr>
            <w:tcW w:w="3468" w:type="dxa"/>
            <w:tcBorders>
              <w:left w:val="single" w:sz="8" w:space="0" w:color="000000"/>
            </w:tcBorders>
            <w:shd w:fill="auto" w:val="clear"/>
            <w:tcMar>
              <w:left w:w="60" w:type="dxa"/>
            </w:tcMar>
            <w:vAlign w:val="bottom"/>
          </w:tcPr>
          <w:p>
            <w:pPr>
              <w:pStyle w:val="Normal"/>
              <w:rPr>
                <w:rFonts w:ascii="Calibri" w:hAnsi="Calibri" w:cs="Calibri"/>
                <w:color w:val="000000"/>
                <w:sz w:val="20"/>
                <w:szCs w:val="20"/>
              </w:rPr>
            </w:pPr>
            <w:r>
              <w:rPr>
                <w:rFonts w:cs="Calibri" w:ascii="Calibri" w:hAnsi="Calibri"/>
                <w:color w:val="000000"/>
                <w:sz w:val="20"/>
                <w:szCs w:val="20"/>
              </w:rPr>
              <w:t> </w:t>
            </w:r>
          </w:p>
        </w:tc>
        <w:tc>
          <w:tcPr>
            <w:tcW w:w="993" w:type="dxa"/>
            <w:tcBorders>
              <w:left w:val="single" w:sz="8" w:space="0" w:color="000000"/>
              <w:bottom w:val="single" w:sz="8" w:space="0" w:color="000000"/>
              <w:insideH w:val="single" w:sz="8" w:space="0" w:color="000000"/>
            </w:tcBorders>
            <w:shd w:fill="D9D9D9" w:val="clear"/>
            <w:tcMar>
              <w:left w:w="-10" w:type="dxa"/>
              <w:right w:w="0" w:type="dxa"/>
            </w:tcMar>
            <w:vAlign w:val="bottom"/>
          </w:tcPr>
          <w:p>
            <w:pPr>
              <w:pStyle w:val="Normal"/>
              <w:jc w:val="center"/>
              <w:rPr>
                <w:rFonts w:ascii="Calibri" w:hAnsi="Calibri" w:cs="Calibri"/>
                <w:b/>
                <w:b/>
                <w:bCs/>
                <w:color w:val="000000"/>
                <w:sz w:val="20"/>
                <w:szCs w:val="20"/>
              </w:rPr>
            </w:pPr>
            <w:r>
              <w:rPr>
                <w:rFonts w:cs="Calibri" w:ascii="Calibri" w:hAnsi="Calibri"/>
                <w:b/>
                <w:bCs/>
                <w:color w:val="000000"/>
                <w:sz w:val="20"/>
                <w:szCs w:val="20"/>
              </w:rPr>
              <w:t>UP/IR</w:t>
            </w:r>
          </w:p>
        </w:tc>
        <w:tc>
          <w:tcPr>
            <w:tcW w:w="1275" w:type="dxa"/>
            <w:tcBorders>
              <w:left w:val="single" w:sz="8" w:space="0" w:color="000000"/>
              <w:bottom w:val="single" w:sz="8" w:space="0" w:color="000000"/>
              <w:insideH w:val="single" w:sz="8" w:space="0" w:color="000000"/>
            </w:tcBorders>
            <w:shd w:fill="D9D9D9" w:val="clear"/>
            <w:tcMar>
              <w:left w:w="-10" w:type="dxa"/>
              <w:right w:w="0" w:type="dxa"/>
            </w:tcMar>
            <w:vAlign w:val="bottom"/>
          </w:tcPr>
          <w:p>
            <w:pPr>
              <w:pStyle w:val="Normal"/>
              <w:jc w:val="center"/>
              <w:rPr>
                <w:rFonts w:ascii="Calibri" w:hAnsi="Calibri" w:cs="Calibri"/>
                <w:b/>
                <w:b/>
                <w:bCs/>
                <w:color w:val="000000"/>
                <w:sz w:val="20"/>
                <w:szCs w:val="20"/>
              </w:rPr>
            </w:pPr>
            <w:r>
              <w:rPr>
                <w:rFonts w:cs="Calibri" w:ascii="Calibri" w:hAnsi="Calibri"/>
                <w:b/>
                <w:bCs/>
                <w:color w:val="000000"/>
                <w:sz w:val="20"/>
                <w:szCs w:val="20"/>
              </w:rPr>
              <w:t>GP</w:t>
            </w:r>
          </w:p>
        </w:tc>
        <w:tc>
          <w:tcPr>
            <w:tcW w:w="993" w:type="dxa"/>
            <w:tcBorders>
              <w:left w:val="single" w:sz="8" w:space="0" w:color="000000"/>
              <w:bottom w:val="single" w:sz="8" w:space="0" w:color="000000"/>
              <w:insideH w:val="single" w:sz="8" w:space="0" w:color="000000"/>
            </w:tcBorders>
            <w:shd w:fill="D9D9D9" w:val="clear"/>
            <w:tcMar>
              <w:left w:w="-10" w:type="dxa"/>
              <w:right w:w="0" w:type="dxa"/>
            </w:tcMar>
            <w:vAlign w:val="bottom"/>
          </w:tcPr>
          <w:p>
            <w:pPr>
              <w:pStyle w:val="Normal"/>
              <w:jc w:val="center"/>
              <w:rPr>
                <w:rFonts w:ascii="Calibri" w:hAnsi="Calibri" w:cs="Calibri"/>
                <w:b/>
                <w:b/>
                <w:bCs/>
                <w:color w:val="000000"/>
                <w:sz w:val="20"/>
                <w:szCs w:val="20"/>
              </w:rPr>
            </w:pPr>
            <w:r>
              <w:rPr>
                <w:rFonts w:cs="Calibri" w:ascii="Calibri" w:hAnsi="Calibri"/>
                <w:b/>
                <w:bCs/>
                <w:color w:val="000000"/>
                <w:sz w:val="20"/>
                <w:szCs w:val="20"/>
              </w:rPr>
              <w:t>SP</w:t>
            </w:r>
          </w:p>
        </w:tc>
        <w:tc>
          <w:tcPr>
            <w:tcW w:w="1078" w:type="dxa"/>
            <w:tcBorders>
              <w:left w:val="single" w:sz="8" w:space="0" w:color="000000"/>
              <w:bottom w:val="single" w:sz="8" w:space="0" w:color="000000"/>
              <w:right w:val="single" w:sz="8" w:space="0" w:color="000000"/>
              <w:insideH w:val="single" w:sz="8" w:space="0" w:color="000000"/>
              <w:insideV w:val="single" w:sz="8" w:space="0" w:color="000000"/>
            </w:tcBorders>
            <w:shd w:fill="D9D9D9" w:val="clear"/>
            <w:tcMar>
              <w:left w:w="-10" w:type="dxa"/>
              <w:right w:w="0" w:type="dxa"/>
            </w:tcMar>
            <w:vAlign w:val="bottom"/>
          </w:tcPr>
          <w:p>
            <w:pPr>
              <w:pStyle w:val="Normal"/>
              <w:jc w:val="center"/>
              <w:rPr>
                <w:rFonts w:ascii="Calibri" w:hAnsi="Calibri" w:cs="Calibri"/>
                <w:b/>
                <w:b/>
                <w:bCs/>
                <w:color w:val="000000"/>
                <w:sz w:val="20"/>
                <w:szCs w:val="20"/>
              </w:rPr>
            </w:pPr>
            <w:r>
              <w:rPr>
                <w:rFonts w:cs="Calibri" w:ascii="Calibri" w:hAnsi="Calibri"/>
                <w:b/>
                <w:bCs/>
                <w:color w:val="000000"/>
                <w:sz w:val="20"/>
                <w:szCs w:val="20"/>
              </w:rPr>
              <w:t>EP</w:t>
            </w:r>
          </w:p>
        </w:tc>
      </w:tr>
      <w:tr>
        <w:trPr>
          <w:trHeight w:val="288" w:hRule="atLeast"/>
        </w:trPr>
        <w:tc>
          <w:tcPr>
            <w:tcW w:w="3468" w:type="dxa"/>
            <w:tcBorders>
              <w:top w:val="single" w:sz="8" w:space="0" w:color="000000"/>
              <w:left w:val="single" w:sz="8" w:space="0" w:color="000000"/>
              <w:bottom w:val="single" w:sz="8" w:space="0" w:color="000000"/>
              <w:insideH w:val="single" w:sz="8" w:space="0" w:color="000000"/>
            </w:tcBorders>
            <w:shd w:fill="D9D9D9" w:val="clear"/>
            <w:tcMar>
              <w:left w:w="60" w:type="dxa"/>
            </w:tcMar>
            <w:vAlign w:val="bottom"/>
          </w:tcPr>
          <w:p>
            <w:pPr>
              <w:pStyle w:val="Normal"/>
              <w:rPr>
                <w:rFonts w:ascii="Calibri" w:hAnsi="Calibri" w:cs="Calibri"/>
                <w:b/>
                <w:b/>
                <w:bCs/>
                <w:sz w:val="20"/>
                <w:szCs w:val="20"/>
              </w:rPr>
            </w:pPr>
            <w:r>
              <w:rPr>
                <w:rFonts w:cs="Calibri" w:ascii="Calibri" w:hAnsi="Calibri"/>
                <w:b/>
                <w:bCs/>
                <w:color w:val="000000"/>
                <w:sz w:val="20"/>
                <w:szCs w:val="20"/>
              </w:rPr>
              <w:t>Officer</w:t>
            </w:r>
          </w:p>
        </w:tc>
        <w:tc>
          <w:tcPr>
            <w:tcW w:w="993" w:type="dxa"/>
            <w:tcBorders>
              <w:left w:val="single" w:sz="8" w:space="0" w:color="000000"/>
              <w:bottom w:val="single" w:sz="8" w:space="0" w:color="000000"/>
              <w:insideH w:val="single" w:sz="8" w:space="0" w:color="000000"/>
            </w:tcBorders>
            <w:shd w:fill="auto" w:val="clear"/>
            <w:tcMar>
              <w:left w:w="-10" w:type="dxa"/>
              <w:right w:w="0" w:type="dxa"/>
            </w:tcMar>
            <w:vAlign w:val="bottom"/>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1275" w:type="dxa"/>
            <w:vMerge w:val="restart"/>
            <w:tcBorders>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De 0,5 à 3%</w:t>
            </w:r>
          </w:p>
        </w:tc>
        <w:tc>
          <w:tcPr>
            <w:tcW w:w="2071" w:type="dxa"/>
            <w:gridSpan w:val="2"/>
            <w:vMerge w:val="restart"/>
            <w:tcBorders>
              <w:left w:val="single" w:sz="8" w:space="0" w:color="000000"/>
              <w:bottom w:val="single" w:sz="8" w:space="0" w:color="000000"/>
              <w:right w:val="single" w:sz="8" w:space="0" w:color="000000"/>
              <w:insideH w:val="single" w:sz="8" w:space="0" w:color="000000"/>
              <w:insideV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De 3 à 5%</w:t>
            </w:r>
          </w:p>
        </w:tc>
      </w:tr>
      <w:tr>
        <w:trPr>
          <w:trHeight w:val="288" w:hRule="atLeast"/>
        </w:trPr>
        <w:tc>
          <w:tcPr>
            <w:tcW w:w="3468" w:type="dxa"/>
            <w:tcBorders>
              <w:left w:val="single" w:sz="8" w:space="0" w:color="000000"/>
              <w:bottom w:val="single" w:sz="8" w:space="0" w:color="000000"/>
              <w:insideH w:val="single" w:sz="8" w:space="0" w:color="000000"/>
            </w:tcBorders>
            <w:shd w:fill="D9D9D9" w:val="clear"/>
            <w:tcMar>
              <w:left w:w="60" w:type="dxa"/>
            </w:tcMar>
            <w:vAlign w:val="bottom"/>
          </w:tcPr>
          <w:p>
            <w:pPr>
              <w:pStyle w:val="Normal"/>
              <w:rPr>
                <w:rFonts w:ascii="Calibri" w:hAnsi="Calibri" w:cs="Calibri"/>
                <w:b/>
                <w:b/>
                <w:bCs/>
                <w:sz w:val="20"/>
                <w:szCs w:val="20"/>
              </w:rPr>
            </w:pPr>
            <w:r>
              <w:rPr>
                <w:rFonts w:cs="Calibri" w:ascii="Calibri" w:hAnsi="Calibri"/>
                <w:b/>
                <w:bCs/>
                <w:color w:val="000000"/>
                <w:sz w:val="20"/>
                <w:szCs w:val="20"/>
              </w:rPr>
              <w:t>Advisor / Advisor Resp</w:t>
            </w:r>
          </w:p>
        </w:tc>
        <w:tc>
          <w:tcPr>
            <w:tcW w:w="993" w:type="dxa"/>
            <w:tcBorders>
              <w:left w:val="single" w:sz="8" w:space="0" w:color="000000"/>
              <w:bottom w:val="single" w:sz="8" w:space="0" w:color="000000"/>
              <w:insideH w:val="single" w:sz="8" w:space="0" w:color="000000"/>
            </w:tcBorders>
            <w:shd w:fill="auto" w:val="clear"/>
            <w:tcMar>
              <w:left w:w="-10" w:type="dxa"/>
              <w:right w:w="0" w:type="dxa"/>
            </w:tcMar>
            <w:vAlign w:val="bottom"/>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1275" w:type="dxa"/>
            <w:vMerge w:val="continue"/>
            <w:tcBorders>
              <w:left w:val="single" w:sz="8" w:space="0" w:color="000000"/>
              <w:bottom w:val="single" w:sz="8" w:space="0" w:color="000000"/>
              <w:insideH w:val="single" w:sz="8" w:space="0" w:color="000000"/>
            </w:tcBorders>
            <w:shd w:fill="auto" w:val="clear"/>
            <w:tcMar>
              <w:left w:w="-10" w:type="dxa"/>
              <w:right w:w="0" w:type="dxa"/>
            </w:tcMar>
            <w:vAlign w:val="center"/>
          </w:tcPr>
          <w:p>
            <w:pPr>
              <w:pStyle w:val="Normal"/>
              <w:snapToGrid w:val="false"/>
              <w:rPr>
                <w:rFonts w:ascii="Calibri" w:hAnsi="Calibri" w:eastAsia="Calibri" w:cs="Calibri"/>
                <w:color w:val="000000"/>
                <w:sz w:val="20"/>
                <w:szCs w:val="20"/>
              </w:rPr>
            </w:pPr>
            <w:r>
              <w:rPr>
                <w:rFonts w:eastAsia="Calibri" w:cs="Calibri" w:ascii="Calibri" w:hAnsi="Calibri"/>
                <w:color w:val="000000"/>
                <w:sz w:val="20"/>
                <w:szCs w:val="20"/>
              </w:rPr>
            </w:r>
          </w:p>
        </w:tc>
        <w:tc>
          <w:tcPr>
            <w:tcW w:w="2071" w:type="dxa"/>
            <w:gridSpan w:val="2"/>
            <w:vMerge w:val="continue"/>
            <w:tcBorders>
              <w:left w:val="single" w:sz="8" w:space="0" w:color="000000"/>
              <w:bottom w:val="single" w:sz="8" w:space="0" w:color="000000"/>
              <w:right w:val="single" w:sz="8" w:space="0" w:color="000000"/>
              <w:insideH w:val="single" w:sz="8" w:space="0" w:color="000000"/>
              <w:insideV w:val="single" w:sz="8" w:space="0" w:color="000000"/>
            </w:tcBorders>
            <w:shd w:fill="auto" w:val="clear"/>
            <w:tcMar>
              <w:left w:w="-10" w:type="dxa"/>
              <w:right w:w="0" w:type="dxa"/>
            </w:tcMar>
            <w:vAlign w:val="center"/>
          </w:tcPr>
          <w:p>
            <w:pPr>
              <w:pStyle w:val="Normal"/>
              <w:snapToGrid w:val="false"/>
              <w:rPr>
                <w:rFonts w:ascii="Calibri" w:hAnsi="Calibri" w:eastAsia="Calibri" w:cs="Calibri"/>
                <w:color w:val="000000"/>
                <w:sz w:val="20"/>
                <w:szCs w:val="20"/>
              </w:rPr>
            </w:pPr>
            <w:r>
              <w:rPr>
                <w:rFonts w:eastAsia="Calibri" w:cs="Calibri" w:ascii="Calibri" w:hAnsi="Calibri"/>
                <w:color w:val="000000"/>
                <w:sz w:val="20"/>
                <w:szCs w:val="20"/>
              </w:rPr>
            </w:r>
          </w:p>
        </w:tc>
      </w:tr>
      <w:tr>
        <w:trPr>
          <w:trHeight w:val="288" w:hRule="atLeast"/>
        </w:trPr>
        <w:tc>
          <w:tcPr>
            <w:tcW w:w="3468" w:type="dxa"/>
            <w:tcBorders>
              <w:left w:val="single" w:sz="8" w:space="0" w:color="000000"/>
              <w:bottom w:val="single" w:sz="8" w:space="0" w:color="000000"/>
              <w:insideH w:val="single" w:sz="8" w:space="0" w:color="000000"/>
            </w:tcBorders>
            <w:shd w:fill="D9D9D9" w:val="clear"/>
            <w:tcMar>
              <w:left w:w="60" w:type="dxa"/>
            </w:tcMar>
            <w:vAlign w:val="bottom"/>
          </w:tcPr>
          <w:p>
            <w:pPr>
              <w:pStyle w:val="Normal"/>
              <w:rPr>
                <w:rFonts w:ascii="Calibri" w:hAnsi="Calibri" w:cs="Calibri"/>
                <w:b/>
                <w:b/>
                <w:bCs/>
                <w:sz w:val="20"/>
                <w:szCs w:val="20"/>
              </w:rPr>
            </w:pPr>
            <w:r>
              <w:rPr>
                <w:rFonts w:cs="Calibri" w:ascii="Calibri" w:hAnsi="Calibri"/>
                <w:b/>
                <w:bCs/>
                <w:color w:val="000000"/>
                <w:sz w:val="20"/>
                <w:szCs w:val="20"/>
              </w:rPr>
              <w:t>Head of/Expertise Head</w:t>
            </w:r>
          </w:p>
        </w:tc>
        <w:tc>
          <w:tcPr>
            <w:tcW w:w="993" w:type="dxa"/>
            <w:tcBorders>
              <w:left w:val="single" w:sz="8" w:space="0" w:color="000000"/>
              <w:bottom w:val="single" w:sz="8" w:space="0" w:color="000000"/>
              <w:insideH w:val="single" w:sz="8" w:space="0" w:color="000000"/>
            </w:tcBorders>
            <w:shd w:fill="auto" w:val="clear"/>
            <w:tcMar>
              <w:left w:w="-10" w:type="dxa"/>
              <w:right w:w="0" w:type="dxa"/>
            </w:tcMar>
            <w:vAlign w:val="bottom"/>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3346" w:type="dxa"/>
            <w:gridSpan w:val="3"/>
            <w:vMerge w:val="restart"/>
            <w:tcBorders>
              <w:left w:val="single" w:sz="8" w:space="0" w:color="000000"/>
              <w:bottom w:val="single" w:sz="8" w:space="0" w:color="000000"/>
              <w:right w:val="single" w:sz="8" w:space="0" w:color="000000"/>
              <w:insideH w:val="single" w:sz="8" w:space="0" w:color="000000"/>
              <w:insideV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discrétionnaire</w:t>
            </w:r>
          </w:p>
        </w:tc>
      </w:tr>
      <w:tr>
        <w:trPr>
          <w:trHeight w:val="300" w:hRule="atLeast"/>
        </w:trPr>
        <w:tc>
          <w:tcPr>
            <w:tcW w:w="3468" w:type="dxa"/>
            <w:tcBorders>
              <w:left w:val="single" w:sz="8" w:space="0" w:color="000000"/>
              <w:bottom w:val="single" w:sz="8" w:space="0" w:color="000000"/>
              <w:insideH w:val="single" w:sz="8" w:space="0" w:color="000000"/>
            </w:tcBorders>
            <w:shd w:fill="D9D9D9" w:val="clear"/>
            <w:tcMar>
              <w:left w:w="60" w:type="dxa"/>
            </w:tcMar>
            <w:vAlign w:val="bottom"/>
          </w:tcPr>
          <w:p>
            <w:pPr>
              <w:pStyle w:val="Normal"/>
              <w:rPr>
                <w:rFonts w:ascii="Calibri" w:hAnsi="Calibri" w:cs="Calibri"/>
                <w:b/>
                <w:b/>
                <w:bCs/>
                <w:sz w:val="20"/>
                <w:szCs w:val="20"/>
              </w:rPr>
            </w:pPr>
            <w:r>
              <w:rPr>
                <w:rFonts w:cs="Calibri" w:ascii="Calibri" w:hAnsi="Calibri"/>
                <w:b/>
                <w:bCs/>
                <w:color w:val="000000"/>
                <w:sz w:val="20"/>
                <w:szCs w:val="20"/>
              </w:rPr>
              <w:t>Department Director/Expertise Director</w:t>
            </w:r>
          </w:p>
        </w:tc>
        <w:tc>
          <w:tcPr>
            <w:tcW w:w="993" w:type="dxa"/>
            <w:tcBorders>
              <w:left w:val="single" w:sz="8" w:space="0" w:color="000000"/>
              <w:bottom w:val="single" w:sz="8" w:space="0" w:color="000000"/>
              <w:insideH w:val="single" w:sz="8" w:space="0" w:color="000000"/>
            </w:tcBorders>
            <w:shd w:fill="auto" w:val="clear"/>
            <w:tcMar>
              <w:left w:w="-10" w:type="dxa"/>
              <w:right w:w="0" w:type="dxa"/>
            </w:tcMar>
            <w:vAlign w:val="bottom"/>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3346" w:type="dxa"/>
            <w:gridSpan w:val="3"/>
            <w:vMerge w:val="continue"/>
            <w:tcBorders>
              <w:left w:val="single" w:sz="8" w:space="0" w:color="000000"/>
              <w:bottom w:val="single" w:sz="8" w:space="0" w:color="000000"/>
              <w:right w:val="single" w:sz="8" w:space="0" w:color="000000"/>
              <w:insideH w:val="single" w:sz="8" w:space="0" w:color="000000"/>
              <w:insideV w:val="single" w:sz="8" w:space="0" w:color="000000"/>
            </w:tcBorders>
            <w:shd w:fill="auto" w:val="clear"/>
            <w:tcMar>
              <w:left w:w="-10" w:type="dxa"/>
              <w:right w:w="0" w:type="dxa"/>
            </w:tcMar>
            <w:vAlign w:val="center"/>
          </w:tcPr>
          <w:p>
            <w:pPr>
              <w:pStyle w:val="Normal"/>
              <w:snapToGrid w:val="false"/>
              <w:rPr>
                <w:rFonts w:ascii="Calibri" w:hAnsi="Calibri" w:eastAsia="Calibri" w:cs="Calibri"/>
                <w:color w:val="000000"/>
                <w:sz w:val="20"/>
                <w:szCs w:val="20"/>
              </w:rPr>
            </w:pPr>
            <w:r>
              <w:rPr>
                <w:rFonts w:eastAsia="Calibri" w:cs="Calibri" w:ascii="Calibri" w:hAnsi="Calibri"/>
                <w:color w:val="000000"/>
                <w:sz w:val="20"/>
                <w:szCs w:val="20"/>
              </w:rPr>
            </w:r>
          </w:p>
        </w:tc>
      </w:tr>
    </w:tbl>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Les minima de rémunération à respecter varient en fonction des 4 niveaux, à savoir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Niveau 1 </w:t>
      </w:r>
    </w:p>
    <w:p>
      <w:pPr>
        <w:pStyle w:val="Normal"/>
        <w:numPr>
          <w:ilvl w:val="1"/>
          <w:numId w:val="7"/>
        </w:numPr>
        <w:ind w:left="1014" w:right="-238" w:hanging="360"/>
        <w:jc w:val="both"/>
        <w:rPr/>
      </w:pPr>
      <w:r>
        <w:rPr>
          <w:rFonts w:cs="Calibri" w:ascii="Calibri" w:hAnsi="Calibri"/>
          <w:color w:val="000000"/>
          <w:sz w:val="20"/>
          <w:szCs w:val="20"/>
        </w:rPr>
        <w:t>Employé : 23k€</w:t>
      </w:r>
    </w:p>
    <w:p>
      <w:pPr>
        <w:pStyle w:val="Normal"/>
        <w:numPr>
          <w:ilvl w:val="1"/>
          <w:numId w:val="7"/>
        </w:numPr>
        <w:ind w:left="1014" w:right="-238" w:hanging="360"/>
        <w:jc w:val="both"/>
        <w:rPr>
          <w:rFonts w:ascii="Calibri" w:hAnsi="Calibri" w:cs="Calibri"/>
          <w:color w:val="000000"/>
          <w:sz w:val="20"/>
          <w:szCs w:val="20"/>
        </w:rPr>
      </w:pPr>
      <w:r>
        <w:rPr>
          <w:rFonts w:cs="Calibri" w:ascii="Calibri" w:hAnsi="Calibri"/>
          <w:color w:val="000000"/>
          <w:sz w:val="20"/>
          <w:szCs w:val="20"/>
        </w:rPr>
        <w:t>Cadre : 32,5k€</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Niveau 2</w:t>
      </w:r>
    </w:p>
    <w:p>
      <w:pPr>
        <w:pStyle w:val="Paragraphedeliste"/>
        <w:numPr>
          <w:ilvl w:val="1"/>
          <w:numId w:val="7"/>
        </w:numPr>
        <w:tabs>
          <w:tab w:val="left" w:pos="-142" w:leader="none"/>
        </w:tabs>
        <w:ind w:left="1014" w:right="-238" w:hanging="360"/>
        <w:jc w:val="both"/>
        <w:rPr>
          <w:rFonts w:cs="Calibri"/>
          <w:color w:val="000000"/>
          <w:sz w:val="20"/>
          <w:szCs w:val="20"/>
        </w:rPr>
      </w:pPr>
      <w:r>
        <w:rPr>
          <w:rFonts w:cs="Calibri"/>
          <w:color w:val="000000"/>
          <w:sz w:val="20"/>
          <w:szCs w:val="20"/>
        </w:rPr>
        <w:t>Employé : 30k€</w:t>
      </w:r>
    </w:p>
    <w:p>
      <w:pPr>
        <w:pStyle w:val="Paragraphedeliste"/>
        <w:numPr>
          <w:ilvl w:val="1"/>
          <w:numId w:val="7"/>
        </w:numPr>
        <w:tabs>
          <w:tab w:val="left" w:pos="-142" w:leader="none"/>
        </w:tabs>
        <w:ind w:left="1014" w:right="-238" w:hanging="360"/>
        <w:jc w:val="both"/>
        <w:rPr/>
      </w:pPr>
      <w:r>
        <w:rPr>
          <w:rFonts w:cs="Calibri"/>
          <w:color w:val="000000"/>
          <w:sz w:val="20"/>
          <w:szCs w:val="20"/>
        </w:rPr>
        <w:t>Cadre (non responsable) : 40k€</w:t>
      </w:r>
    </w:p>
    <w:p>
      <w:pPr>
        <w:pStyle w:val="Paragraphedeliste"/>
        <w:numPr>
          <w:ilvl w:val="1"/>
          <w:numId w:val="7"/>
        </w:numPr>
        <w:tabs>
          <w:tab w:val="left" w:pos="-142" w:leader="none"/>
        </w:tabs>
        <w:ind w:left="1014" w:right="-238" w:hanging="360"/>
        <w:jc w:val="both"/>
        <w:rPr>
          <w:rFonts w:cs="Calibri"/>
          <w:color w:val="000000"/>
          <w:sz w:val="20"/>
          <w:szCs w:val="20"/>
        </w:rPr>
      </w:pPr>
      <w:r>
        <w:rPr>
          <w:rFonts w:cs="Calibri"/>
          <w:color w:val="000000"/>
          <w:sz w:val="20"/>
          <w:szCs w:val="20"/>
        </w:rPr>
        <w:t>Cadre (responsable) : 50k€</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Niveau 3 : 55k€</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Niveau 4 : 100k€</w:t>
      </w:r>
    </w:p>
    <w:p>
      <w:pPr>
        <w:pStyle w:val="Paragraphedeliste"/>
        <w:tabs>
          <w:tab w:val="left" w:pos="284" w:leader="none"/>
        </w:tabs>
        <w:ind w:left="-426" w:right="-238" w:hanging="0"/>
        <w:jc w:val="both"/>
        <w:rPr>
          <w:rFonts w:ascii="Calibri" w:hAnsi="Calibri" w:cs="Calibri"/>
          <w:color w:val="000000"/>
          <w:sz w:val="20"/>
          <w:szCs w:val="20"/>
          <w:highlight w:val="yellow"/>
        </w:rPr>
      </w:pPr>
      <w:r>
        <w:rPr>
          <w:rFonts w:cs="Calibri"/>
          <w:color w:val="000000"/>
          <w:sz w:val="20"/>
          <w:szCs w:val="20"/>
          <w:highlight w:val="yellow"/>
        </w:rPr>
      </w:r>
    </w:p>
    <w:p>
      <w:pPr>
        <w:pStyle w:val="Heading2"/>
        <w:keepLines/>
        <w:numPr>
          <w:ilvl w:val="2"/>
          <w:numId w:val="3"/>
        </w:numPr>
        <w:ind w:left="284" w:right="-238" w:hanging="710"/>
        <w:jc w:val="left"/>
        <w:rPr/>
      </w:pPr>
      <w:r>
        <w:rPr>
          <w:rFonts w:cs="Calibri" w:ascii="Calibri" w:hAnsi="Calibri"/>
          <w:color w:val="00B0F0"/>
          <w:sz w:val="20"/>
          <w:szCs w:val="20"/>
        </w:rPr>
        <w:t>Salariés de la société Hypercube</w:t>
      </w:r>
    </w:p>
    <w:p>
      <w:pPr>
        <w:pStyle w:val="Normal"/>
        <w:ind w:left="-426" w:right="-238" w:hanging="0"/>
        <w:jc w:val="both"/>
        <w:rPr>
          <w:rFonts w:ascii="Calibri" w:hAnsi="Calibri" w:cs="Calibri"/>
          <w:color w:val="00B0F0"/>
          <w:sz w:val="20"/>
          <w:szCs w:val="20"/>
        </w:rPr>
      </w:pPr>
      <w:r>
        <w:rPr>
          <w:rFonts w:cs="Calibri" w:ascii="Calibri" w:hAnsi="Calibri"/>
          <w:color w:val="00B0F0"/>
          <w:sz w:val="20"/>
          <w:szCs w:val="20"/>
        </w:rPr>
      </w:r>
    </w:p>
    <w:p>
      <w:pPr>
        <w:pStyle w:val="Paragraphedeliste"/>
        <w:tabs>
          <w:tab w:val="left" w:pos="0" w:leader="none"/>
        </w:tabs>
        <w:ind w:left="-426" w:right="-238" w:hanging="0"/>
        <w:jc w:val="both"/>
        <w:rPr/>
      </w:pPr>
      <w:r>
        <w:rPr>
          <w:rFonts w:cs="Calibri"/>
          <w:color w:val="000000"/>
          <w:sz w:val="20"/>
          <w:szCs w:val="20"/>
        </w:rPr>
        <w:t>L’enveloppe d’augmentation pour 2022 représentera 40k€ y compris les charges patronales.</w:t>
      </w:r>
    </w:p>
    <w:p>
      <w:pPr>
        <w:pStyle w:val="Paragraphedeliste"/>
        <w:tabs>
          <w:tab w:val="left" w:pos="0" w:leader="none"/>
        </w:tabs>
        <w:ind w:left="-426" w:right="-238" w:hanging="0"/>
        <w:jc w:val="both"/>
        <w:rPr>
          <w:rFonts w:cs="Calibri"/>
          <w:color w:val="000000"/>
          <w:sz w:val="21"/>
          <w:szCs w:val="21"/>
        </w:rPr>
      </w:pPr>
      <w:r>
        <w:rPr>
          <w:rFonts w:cs="Calibri"/>
          <w:color w:val="000000"/>
          <w:sz w:val="21"/>
          <w:szCs w:val="21"/>
        </w:rPr>
      </w:r>
    </w:p>
    <w:p>
      <w:pPr>
        <w:pStyle w:val="Paragraphedeliste"/>
        <w:tabs>
          <w:tab w:val="left" w:pos="0" w:leader="none"/>
        </w:tabs>
        <w:ind w:left="-426" w:right="-238" w:hanging="0"/>
        <w:jc w:val="both"/>
        <w:rPr>
          <w:rFonts w:cs="Calibri"/>
          <w:color w:val="000000"/>
          <w:sz w:val="20"/>
          <w:szCs w:val="20"/>
        </w:rPr>
      </w:pPr>
      <w:r>
        <w:rPr>
          <w:rFonts w:cs="Calibri"/>
          <w:color w:val="000000"/>
          <w:sz w:val="20"/>
          <w:szCs w:val="20"/>
        </w:rPr>
        <w:t>La Direction décidera des augmentations à accorder aux collaborateurs qu’ils soient ou non promus.</w:t>
      </w:r>
    </w:p>
    <w:p>
      <w:pPr>
        <w:pStyle w:val="Paragraphedeliste"/>
        <w:ind w:left="720" w:right="-238" w:hanging="0"/>
        <w:jc w:val="both"/>
        <w:rPr>
          <w:rFonts w:cs="Calibri"/>
          <w:color w:val="000000"/>
          <w:sz w:val="20"/>
          <w:szCs w:val="20"/>
        </w:rPr>
      </w:pPr>
      <w:r>
        <w:rPr>
          <w:rFonts w:cs="Calibri"/>
          <w:color w:val="000000"/>
          <w:sz w:val="20"/>
          <w:szCs w:val="20"/>
        </w:rPr>
      </w:r>
    </w:p>
    <w:p>
      <w:pPr>
        <w:pStyle w:val="Normal"/>
        <w:ind w:left="-426" w:right="-7" w:hanging="0"/>
        <w:jc w:val="both"/>
        <w:rPr>
          <w:rFonts w:ascii="Calibri" w:hAnsi="Calibri" w:eastAsia="Calibri" w:cs="Calibri"/>
          <w:color w:val="000000"/>
          <w:sz w:val="20"/>
          <w:szCs w:val="20"/>
        </w:rPr>
      </w:pPr>
      <w:r>
        <w:rPr>
          <w:rFonts w:eastAsia="Calibri" w:cs="Calibri" w:ascii="Calibri" w:hAnsi="Calibri"/>
          <w:color w:val="000000"/>
          <w:sz w:val="20"/>
          <w:szCs w:val="20"/>
        </w:rPr>
        <w:t>Les principes et spécificités sont les suivants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les analysts promus au grade de consultant et les consultants promus au grade de senior consultant seront tous positionnés à la grille de promotion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analysts non promus sont tous positionnés à la nouvelle grille de salaire des analysts expérimentés</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analysts non promus ont tous pu bénéficier d’une revalorisation de salaires en septembre 2021</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consultants/senior consultants non promus sont tous positionnés à la nouvelle grille de salaire des C/SC expérimentés</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Les managers et plus sont soumis aux mêmes règles que la population Consultant, à savoir, des rémunérations seuils pour les promotions et un salaire cible pour les Managers ou Senior Managers positionnés au statut « Advanced » en mars 2022.</w:t>
      </w:r>
    </w:p>
    <w:p>
      <w:pPr>
        <w:pStyle w:val="Paragraphedeliste"/>
        <w:tabs>
          <w:tab w:val="left" w:pos="284" w:leader="none"/>
        </w:tabs>
        <w:ind w:left="-426" w:right="-238" w:hanging="0"/>
        <w:jc w:val="both"/>
        <w:rPr>
          <w:rFonts w:ascii="Calibri" w:hAnsi="Calibri" w:eastAsia="Calibri" w:cs="Calibri"/>
          <w:color w:val="000000"/>
          <w:sz w:val="20"/>
          <w:szCs w:val="20"/>
        </w:rPr>
      </w:pPr>
      <w:r>
        <w:rPr>
          <w:rFonts w:eastAsia="Calibri"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Des exceptions à ces règles, validées par le comex, pourront éventuellement être appliquées et expliquées aux collaborateurs concernés.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Heading2"/>
        <w:keepLines/>
        <w:numPr>
          <w:ilvl w:val="2"/>
          <w:numId w:val="3"/>
        </w:numPr>
        <w:ind w:left="284" w:right="-238" w:hanging="710"/>
        <w:jc w:val="left"/>
        <w:rPr>
          <w:rFonts w:ascii="Calibri" w:hAnsi="Calibri" w:cs="Calibri"/>
          <w:color w:val="00B0F0"/>
          <w:sz w:val="20"/>
          <w:szCs w:val="20"/>
        </w:rPr>
      </w:pPr>
      <w:r>
        <w:rPr>
          <w:rFonts w:cs="Calibri" w:ascii="Calibri" w:hAnsi="Calibri"/>
          <w:color w:val="00B0F0"/>
          <w:sz w:val="20"/>
          <w:szCs w:val="20"/>
        </w:rPr>
        <w:t>Salariés de la société Arcwide France</w:t>
      </w:r>
    </w:p>
    <w:p>
      <w:pPr>
        <w:pStyle w:val="Paragraphedeliste"/>
        <w:tabs>
          <w:tab w:val="left" w:pos="284" w:leader="none"/>
        </w:tabs>
        <w:ind w:left="-426" w:right="-238" w:hanging="0"/>
        <w:jc w:val="both"/>
        <w:rPr>
          <w:rFonts w:ascii="Calibri" w:hAnsi="Calibri"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pPr>
      <w:r>
        <w:rPr>
          <w:rFonts w:cs="Calibri"/>
          <w:color w:val="000000"/>
          <w:sz w:val="20"/>
          <w:szCs w:val="20"/>
        </w:rPr>
        <w:t>Dans la mesure où les transferts de salariés de BearingPoint France chez Arcwide France interviendront au 1</w:t>
      </w:r>
      <w:r>
        <w:rPr>
          <w:rFonts w:cs="Calibri"/>
          <w:color w:val="000000"/>
          <w:sz w:val="20"/>
          <w:szCs w:val="20"/>
          <w:vertAlign w:val="superscript"/>
        </w:rPr>
        <w:t>er</w:t>
      </w:r>
      <w:r>
        <w:rPr>
          <w:rFonts w:cs="Calibri"/>
          <w:color w:val="000000"/>
          <w:sz w:val="20"/>
          <w:szCs w:val="20"/>
        </w:rPr>
        <w:t xml:space="preserve"> avril 2022, les salariés concernés bénéficieront des dispositions précitées concernant les augmentations au sein de BearingPoint France selon les modalités décrites plus haut.</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 xml:space="preserve"> </w:t>
      </w:r>
    </w:p>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t>REMUNERATION VARIABLE AU TITRE DE L’ANNEE 2021 PAYABLE EN 2022</w:t>
      </w:r>
    </w:p>
    <w:p>
      <w:pPr>
        <w:pStyle w:val="Normal"/>
        <w:ind w:right="-238" w:hanging="0"/>
        <w:jc w:val="both"/>
        <w:rPr>
          <w:rFonts w:ascii="Calibri" w:hAnsi="Calibri" w:cs="Calibri"/>
          <w:b/>
          <w:b/>
          <w:bCs/>
          <w:color w:val="000000"/>
          <w:sz w:val="20"/>
          <w:szCs w:val="20"/>
          <w:u w:val="single"/>
        </w:rPr>
      </w:pPr>
      <w:r>
        <w:rPr>
          <w:rFonts w:cs="Calibri" w:ascii="Calibri" w:hAnsi="Calibri"/>
          <w:b/>
          <w:bCs/>
          <w:color w:val="000000"/>
          <w:sz w:val="20"/>
          <w:szCs w:val="20"/>
          <w:u w:val="single"/>
        </w:rPr>
      </w:r>
    </w:p>
    <w:p>
      <w:pPr>
        <w:pStyle w:val="Heading2"/>
        <w:keepLines/>
        <w:numPr>
          <w:ilvl w:val="2"/>
          <w:numId w:val="9"/>
        </w:numPr>
        <w:ind w:left="851" w:right="-238" w:hanging="1277"/>
        <w:jc w:val="left"/>
        <w:rPr>
          <w:rFonts w:ascii="Calibri" w:hAnsi="Calibri" w:cs="Calibri"/>
          <w:color w:val="00B0F0"/>
          <w:sz w:val="20"/>
          <w:szCs w:val="20"/>
        </w:rPr>
      </w:pPr>
      <w:r>
        <w:rPr>
          <w:rFonts w:cs="Calibri" w:ascii="Calibri" w:hAnsi="Calibri"/>
          <w:color w:val="00B0F0"/>
          <w:sz w:val="20"/>
          <w:szCs w:val="20"/>
        </w:rPr>
        <w:t>Population Consultant</w:t>
      </w:r>
    </w:p>
    <w:p>
      <w:pPr>
        <w:pStyle w:val="Paragraphedeliste"/>
        <w:tabs>
          <w:tab w:val="left" w:pos="284" w:leader="none"/>
        </w:tabs>
        <w:ind w:left="-426" w:right="-238" w:hanging="0"/>
        <w:jc w:val="both"/>
        <w:rPr>
          <w:rFonts w:ascii="Calibri" w:hAnsi="Calibri" w:eastAsia="Times New Roman" w:cs="Calibri"/>
          <w:color w:val="000000"/>
          <w:sz w:val="20"/>
          <w:szCs w:val="20"/>
          <w:lang w:eastAsia="en-US"/>
        </w:rPr>
      </w:pPr>
      <w:r>
        <w:rPr>
          <w:rFonts w:eastAsia="Times New Roman" w:cs="Calibri"/>
          <w:color w:val="000000"/>
          <w:sz w:val="20"/>
          <w:szCs w:val="20"/>
          <w:lang w:eastAsia="en-US"/>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L’EBIT de l’UES (BearingPoint France + Hypercube) atteint en 2021 permet de dégager une enveloppe consacrée à la rémunération variable de 3,385M€ (cotisations patronales comprises).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A ce montant s’ajoute une enveloppe de variable complémentaire de 2M€ cotisations patronales comprises.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Cette enveloppe de variable d’un montant total de 5,385M€ sera répartie auprès d’une population de l’UES de 609 personnes, toutes populations et tous grades confondus, hormis :</w:t>
      </w:r>
    </w:p>
    <w:p>
      <w:pPr>
        <w:pStyle w:val="Normal"/>
        <w:numPr>
          <w:ilvl w:val="0"/>
          <w:numId w:val="5"/>
        </w:numPr>
        <w:ind w:left="66" w:right="-238" w:hanging="360"/>
        <w:jc w:val="both"/>
        <w:rPr/>
      </w:pPr>
      <w:r>
        <w:rPr>
          <w:rFonts w:cs="Calibri" w:ascii="Calibri" w:hAnsi="Calibri"/>
          <w:color w:val="000000"/>
          <w:sz w:val="20"/>
          <w:szCs w:val="20"/>
        </w:rPr>
        <w:t>les Partners, stagiaires et apprentis</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les salariés dont le départ de l’entreprise est notifié avant le 31 mars 2022</w:t>
      </w:r>
    </w:p>
    <w:p>
      <w:pPr>
        <w:pStyle w:val="Normal"/>
        <w:numPr>
          <w:ilvl w:val="0"/>
          <w:numId w:val="5"/>
        </w:numPr>
        <w:ind w:left="66" w:right="-238" w:hanging="360"/>
        <w:jc w:val="both"/>
        <w:rPr/>
      </w:pPr>
      <w:r>
        <w:rPr>
          <w:rFonts w:cs="Calibri" w:ascii="Calibri" w:hAnsi="Calibri"/>
          <w:color w:val="000000"/>
          <w:sz w:val="20"/>
          <w:szCs w:val="20"/>
        </w:rPr>
        <w:t>les salariés entrés entre le 1</w:t>
      </w:r>
      <w:r>
        <w:rPr>
          <w:rFonts w:cs="Calibri" w:ascii="Calibri" w:hAnsi="Calibri"/>
          <w:color w:val="000000"/>
          <w:sz w:val="20"/>
          <w:szCs w:val="20"/>
          <w:vertAlign w:val="superscript"/>
        </w:rPr>
        <w:t>er</w:t>
      </w:r>
      <w:r>
        <w:rPr>
          <w:rFonts w:cs="Calibri" w:ascii="Calibri" w:hAnsi="Calibri"/>
          <w:color w:val="000000"/>
          <w:sz w:val="20"/>
          <w:szCs w:val="20"/>
        </w:rPr>
        <w:t xml:space="preserve"> septembre 2021 et le 31 décembre 2021 (hors cycle d’évaluation)</w:t>
      </w:r>
    </w:p>
    <w:p>
      <w:pPr>
        <w:pStyle w:val="Paragraphedeliste"/>
        <w:tabs>
          <w:tab w:val="left" w:pos="-142" w:leader="none"/>
        </w:tabs>
        <w:ind w:left="-426" w:right="-238" w:hanging="0"/>
        <w:jc w:val="both"/>
        <w:rPr>
          <w:rFonts w:ascii="Calibri" w:hAnsi="Calibri" w:cs="Calibri"/>
          <w:color w:val="000000"/>
          <w:sz w:val="20"/>
          <w:szCs w:val="20"/>
        </w:rPr>
      </w:pPr>
      <w:r>
        <w:rPr>
          <w:rFonts w:cs="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Une enveloppe de 700k€ (cotisations patronales comprises) vient s’ajouter pour être consacrée aux primes de compétences SAP et Salesforce.</w:t>
      </w:r>
    </w:p>
    <w:p>
      <w:pPr>
        <w:pStyle w:val="Paragraphedeliste"/>
        <w:tabs>
          <w:tab w:val="left" w:pos="-142" w:leader="none"/>
        </w:tabs>
        <w:ind w:left="-426" w:right="-238" w:hanging="0"/>
        <w:jc w:val="both"/>
        <w:rPr>
          <w:rFonts w:ascii="Calibri" w:hAnsi="Calibri" w:eastAsia="Calibri" w:cs="Calibri"/>
          <w:color w:val="000000"/>
          <w:sz w:val="20"/>
          <w:szCs w:val="20"/>
        </w:rPr>
      </w:pPr>
      <w:r>
        <w:rPr>
          <w:rFonts w:eastAsia="Calibri" w:cs="Calibri"/>
          <w:color w:val="000000"/>
          <w:sz w:val="20"/>
          <w:szCs w:val="20"/>
        </w:rPr>
      </w:r>
    </w:p>
    <w:p>
      <w:pPr>
        <w:pStyle w:val="Paragraphedeliste"/>
        <w:ind w:left="-426" w:right="-238" w:hanging="0"/>
        <w:jc w:val="both"/>
        <w:rPr>
          <w:rFonts w:cs="Calibri"/>
          <w:b/>
          <w:b/>
          <w:iCs/>
          <w:color w:val="7030A0"/>
          <w:sz w:val="20"/>
          <w:szCs w:val="20"/>
        </w:rPr>
      </w:pPr>
      <w:r>
        <w:rPr>
          <w:rFonts w:cs="Calibri"/>
          <w:b/>
          <w:iCs/>
          <w:color w:val="7030A0"/>
          <w:sz w:val="20"/>
          <w:szCs w:val="20"/>
        </w:rPr>
        <w:t>Montants de bonus « Consultants » en dessous du grade Manager</w:t>
      </w:r>
    </w:p>
    <w:p>
      <w:pPr>
        <w:pStyle w:val="Paragraphedeliste"/>
        <w:ind w:left="-426" w:right="-238" w:hanging="0"/>
        <w:jc w:val="both"/>
        <w:rPr>
          <w:rFonts w:cs="Calibri"/>
          <w:color w:val="000000"/>
          <w:sz w:val="20"/>
          <w:szCs w:val="20"/>
        </w:rPr>
      </w:pPr>
      <w:r>
        <w:rPr>
          <w:rFonts w:cs="Calibri"/>
          <w:color w:val="000000"/>
          <w:sz w:val="20"/>
          <w:szCs w:val="20"/>
        </w:rPr>
        <w:t>Les montants de bonus sont fonction de la note de performance et s’expriment en montants (euros) :</w:t>
      </w:r>
    </w:p>
    <w:p>
      <w:pPr>
        <w:pStyle w:val="Paragraphedeliste"/>
        <w:ind w:left="-426" w:right="-238" w:hanging="0"/>
        <w:jc w:val="both"/>
        <w:rPr>
          <w:rFonts w:cs="Calibri"/>
          <w:b/>
          <w:b/>
          <w:iCs/>
          <w:color w:val="7030A0"/>
          <w:sz w:val="20"/>
          <w:szCs w:val="20"/>
        </w:rPr>
      </w:pPr>
      <w:r>
        <w:rPr>
          <w:rFonts w:cs="Calibri"/>
          <w:b/>
          <w:iCs/>
          <w:color w:val="7030A0"/>
          <w:sz w:val="20"/>
          <w:szCs w:val="20"/>
        </w:rPr>
      </w:r>
    </w:p>
    <w:tbl>
      <w:tblPr>
        <w:tblW w:w="8843" w:type="dxa"/>
        <w:jc w:val="left"/>
        <w:tblInd w:w="-431" w:type="dxa"/>
        <w:tblBorders>
          <w:bottom w:val="single" w:sz="4" w:space="0" w:color="000000"/>
          <w:insideH w:val="single" w:sz="4" w:space="0" w:color="000000"/>
        </w:tblBorders>
        <w:tblCellMar>
          <w:top w:w="0" w:type="dxa"/>
          <w:left w:w="108" w:type="dxa"/>
          <w:bottom w:w="0" w:type="dxa"/>
          <w:right w:w="108" w:type="dxa"/>
        </w:tblCellMar>
      </w:tblPr>
      <w:tblGrid>
        <w:gridCol w:w="1766"/>
        <w:gridCol w:w="1766"/>
        <w:gridCol w:w="1767"/>
        <w:gridCol w:w="1767"/>
        <w:gridCol w:w="1777"/>
      </w:tblGrid>
      <w:tr>
        <w:trPr/>
        <w:tc>
          <w:tcPr>
            <w:tcW w:w="1766" w:type="dxa"/>
            <w:tcBorders>
              <w:bottom w:val="single" w:sz="4" w:space="0" w:color="000000"/>
              <w:insideH w:val="single" w:sz="4" w:space="0" w:color="000000"/>
            </w:tcBorders>
            <w:shd w:fill="auto" w:val="clear"/>
          </w:tcPr>
          <w:p>
            <w:pPr>
              <w:pStyle w:val="Paragraphedeliste"/>
              <w:snapToGrid w:val="false"/>
              <w:ind w:left="0" w:right="-238" w:hanging="0"/>
              <w:jc w:val="both"/>
              <w:rPr>
                <w:rFonts w:cs="Calibri"/>
                <w:b/>
                <w:b/>
                <w:iCs/>
                <w:color w:val="7030A0"/>
                <w:sz w:val="20"/>
                <w:szCs w:val="20"/>
              </w:rPr>
            </w:pPr>
            <w:r>
              <w:rPr>
                <w:rFonts w:cs="Calibri"/>
                <w:b/>
                <w:iCs/>
                <w:color w:val="7030A0"/>
                <w:sz w:val="20"/>
                <w:szCs w:val="20"/>
              </w:rPr>
            </w:r>
          </w:p>
        </w:tc>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208" w:right="-238" w:hanging="0"/>
              <w:jc w:val="center"/>
              <w:rPr>
                <w:rFonts w:cs="Calibri"/>
                <w:b/>
                <w:b/>
                <w:iCs/>
                <w:color w:val="FFFFFF"/>
                <w:sz w:val="20"/>
                <w:szCs w:val="20"/>
              </w:rPr>
            </w:pPr>
            <w:r>
              <w:rPr>
                <w:rFonts w:cs="Calibri"/>
                <w:b/>
                <w:iCs/>
                <w:color w:val="FFFFFF"/>
                <w:sz w:val="20"/>
                <w:szCs w:val="20"/>
              </w:rPr>
              <w:t>GP-</w:t>
            </w:r>
          </w:p>
        </w:tc>
        <w:tc>
          <w:tcPr>
            <w:tcW w:w="176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271" w:right="-238" w:hanging="0"/>
              <w:jc w:val="center"/>
              <w:rPr>
                <w:rFonts w:cs="Calibri"/>
                <w:b/>
                <w:b/>
                <w:iCs/>
                <w:color w:val="FFFFFF"/>
                <w:sz w:val="20"/>
                <w:szCs w:val="20"/>
              </w:rPr>
            </w:pPr>
            <w:r>
              <w:rPr>
                <w:rFonts w:cs="Calibri"/>
                <w:b/>
                <w:iCs/>
                <w:color w:val="FFFFFF"/>
                <w:sz w:val="20"/>
                <w:szCs w:val="20"/>
              </w:rPr>
              <w:t>GP</w:t>
            </w:r>
          </w:p>
        </w:tc>
        <w:tc>
          <w:tcPr>
            <w:tcW w:w="176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191" w:right="-238" w:hanging="0"/>
              <w:jc w:val="center"/>
              <w:rPr>
                <w:rFonts w:cs="Calibri"/>
                <w:b/>
                <w:b/>
                <w:iCs/>
                <w:color w:val="FFFFFF"/>
                <w:sz w:val="20"/>
                <w:szCs w:val="20"/>
              </w:rPr>
            </w:pPr>
            <w:r>
              <w:rPr>
                <w:rFonts w:cs="Calibri"/>
                <w:b/>
                <w:iCs/>
                <w:color w:val="FFFFFF"/>
                <w:sz w:val="20"/>
                <w:szCs w:val="20"/>
              </w:rPr>
              <w:t>SP</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7030A0" w:val="clear"/>
            <w:tcMar>
              <w:left w:w="103" w:type="dxa"/>
            </w:tcMar>
          </w:tcPr>
          <w:p>
            <w:pPr>
              <w:pStyle w:val="Paragraphedeliste"/>
              <w:ind w:left="-263" w:right="-238" w:hanging="0"/>
              <w:jc w:val="center"/>
              <w:rPr>
                <w:rFonts w:cs="Calibri"/>
                <w:b/>
                <w:b/>
                <w:iCs/>
                <w:color w:val="FFFFFF"/>
                <w:sz w:val="20"/>
                <w:szCs w:val="20"/>
              </w:rPr>
            </w:pPr>
            <w:r>
              <w:rPr>
                <w:rFonts w:cs="Calibri"/>
                <w:b/>
                <w:iCs/>
                <w:color w:val="FFFFFF"/>
                <w:sz w:val="20"/>
                <w:szCs w:val="20"/>
              </w:rPr>
              <w:t>EP</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Analyst</w:t>
            </w:r>
          </w:p>
        </w:tc>
        <w:tc>
          <w:tcPr>
            <w:tcW w:w="1766"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08" w:right="-238" w:hanging="0"/>
              <w:jc w:val="center"/>
              <w:rPr>
                <w:rFonts w:cs="Calibri"/>
                <w:bCs/>
                <w:iCs/>
                <w:sz w:val="20"/>
                <w:szCs w:val="20"/>
              </w:rPr>
            </w:pPr>
            <w:r>
              <w:rPr>
                <w:rFonts w:cs="Calibri"/>
                <w:bCs/>
                <w:iCs/>
                <w:sz w:val="20"/>
                <w:szCs w:val="20"/>
              </w:rPr>
              <w:t>700 (promu)</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1 000</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1 800</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63" w:right="-238" w:hanging="0"/>
              <w:jc w:val="center"/>
              <w:rPr>
                <w:rFonts w:cs="Calibri"/>
                <w:bCs/>
                <w:iCs/>
                <w:sz w:val="20"/>
                <w:szCs w:val="20"/>
              </w:rPr>
            </w:pPr>
            <w:r>
              <w:rPr>
                <w:rFonts w:cs="Calibri"/>
                <w:bCs/>
                <w:iCs/>
                <w:sz w:val="20"/>
                <w:szCs w:val="20"/>
              </w:rPr>
              <w:t>3 000</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Consultant</w:t>
            </w:r>
          </w:p>
        </w:tc>
        <w:tc>
          <w:tcPr>
            <w:tcW w:w="1766"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08" w:right="-238" w:hanging="0"/>
              <w:jc w:val="center"/>
              <w:rPr>
                <w:rFonts w:cs="Calibri"/>
                <w:bCs/>
                <w:iCs/>
                <w:sz w:val="20"/>
                <w:szCs w:val="20"/>
              </w:rPr>
            </w:pPr>
            <w:r>
              <w:rPr>
                <w:rFonts w:cs="Calibri"/>
                <w:bCs/>
                <w:iCs/>
                <w:sz w:val="20"/>
                <w:szCs w:val="20"/>
              </w:rPr>
              <w:t>1 000 (promu)</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1 500 – 3 000</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3 500 – 4 500</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63" w:right="-238" w:hanging="0"/>
              <w:jc w:val="center"/>
              <w:rPr>
                <w:rFonts w:cs="Calibri"/>
                <w:bCs/>
                <w:iCs/>
                <w:sz w:val="20"/>
                <w:szCs w:val="20"/>
              </w:rPr>
            </w:pPr>
            <w:r>
              <w:rPr>
                <w:rFonts w:cs="Calibri"/>
                <w:bCs/>
                <w:iCs/>
                <w:sz w:val="20"/>
                <w:szCs w:val="20"/>
              </w:rPr>
              <w:t>5 500</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Senior Consultant</w:t>
            </w:r>
          </w:p>
        </w:tc>
        <w:tc>
          <w:tcPr>
            <w:tcW w:w="1766"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08" w:right="-238" w:hanging="0"/>
              <w:jc w:val="center"/>
              <w:rPr>
                <w:rFonts w:cs="Calibri"/>
                <w:bCs/>
                <w:iCs/>
                <w:sz w:val="20"/>
                <w:szCs w:val="20"/>
              </w:rPr>
            </w:pPr>
            <w:r>
              <w:rPr>
                <w:rFonts w:cs="Calibri"/>
                <w:bCs/>
                <w:iCs/>
                <w:sz w:val="20"/>
                <w:szCs w:val="20"/>
              </w:rPr>
              <w:t>2 500 (promu)</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4 000 – 5 500</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6 000 – 7 000</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63" w:right="-238" w:hanging="0"/>
              <w:jc w:val="center"/>
              <w:rPr>
                <w:rFonts w:cs="Calibri"/>
                <w:bCs/>
                <w:iCs/>
                <w:sz w:val="20"/>
                <w:szCs w:val="20"/>
              </w:rPr>
            </w:pPr>
            <w:r>
              <w:rPr>
                <w:rFonts w:cs="Calibri"/>
                <w:bCs/>
                <w:iCs/>
                <w:sz w:val="20"/>
                <w:szCs w:val="20"/>
              </w:rPr>
              <w:t>8 000</w:t>
            </w:r>
          </w:p>
        </w:tc>
      </w:tr>
    </w:tbl>
    <w:p>
      <w:pPr>
        <w:pStyle w:val="Paragraphedeliste"/>
        <w:ind w:left="-426" w:right="-238" w:hanging="0"/>
        <w:jc w:val="both"/>
        <w:rPr>
          <w:rFonts w:cs="Calibri"/>
          <w:b/>
          <w:b/>
          <w:iCs/>
          <w:color w:val="7030A0"/>
          <w:sz w:val="20"/>
          <w:szCs w:val="20"/>
        </w:rPr>
      </w:pPr>
      <w:r>
        <w:rPr>
          <w:rFonts w:cs="Calibri"/>
          <w:b/>
          <w:iCs/>
          <w:color w:val="7030A0"/>
          <w:sz w:val="20"/>
          <w:szCs w:val="20"/>
        </w:rPr>
      </w:r>
    </w:p>
    <w:p>
      <w:pPr>
        <w:pStyle w:val="Paragraphedeliste"/>
        <w:ind w:left="-426" w:right="-238" w:hanging="0"/>
        <w:jc w:val="both"/>
        <w:rPr>
          <w:rFonts w:cs="Calibri"/>
          <w:b/>
          <w:b/>
          <w:iCs/>
          <w:color w:val="7030A0"/>
          <w:sz w:val="20"/>
          <w:szCs w:val="20"/>
        </w:rPr>
      </w:pPr>
      <w:r>
        <w:rPr>
          <w:rFonts w:cs="Calibri"/>
          <w:b/>
          <w:iCs/>
          <w:color w:val="7030A0"/>
          <w:sz w:val="20"/>
          <w:szCs w:val="20"/>
        </w:rPr>
      </w:r>
    </w:p>
    <w:p>
      <w:pPr>
        <w:pStyle w:val="Paragraphedeliste"/>
        <w:ind w:left="-426" w:right="-238" w:hanging="0"/>
        <w:jc w:val="both"/>
        <w:rPr>
          <w:rFonts w:cs="Calibri"/>
          <w:b/>
          <w:b/>
          <w:iCs/>
          <w:color w:val="7030A0"/>
          <w:sz w:val="20"/>
          <w:szCs w:val="20"/>
        </w:rPr>
      </w:pPr>
      <w:r>
        <w:rPr>
          <w:rFonts w:cs="Calibri"/>
          <w:b/>
          <w:iCs/>
          <w:color w:val="7030A0"/>
          <w:sz w:val="20"/>
          <w:szCs w:val="20"/>
        </w:rPr>
      </w:r>
    </w:p>
    <w:p>
      <w:pPr>
        <w:pStyle w:val="Paragraphedeliste"/>
        <w:ind w:left="-426" w:right="-238" w:hanging="0"/>
        <w:jc w:val="both"/>
        <w:rPr>
          <w:rFonts w:cs="Calibri"/>
          <w:b/>
          <w:b/>
          <w:iCs/>
          <w:color w:val="7030A0"/>
          <w:sz w:val="20"/>
          <w:szCs w:val="20"/>
        </w:rPr>
      </w:pPr>
      <w:r>
        <w:rPr>
          <w:rFonts w:cs="Calibri"/>
          <w:b/>
          <w:iCs/>
          <w:color w:val="7030A0"/>
          <w:sz w:val="20"/>
          <w:szCs w:val="20"/>
        </w:rPr>
        <w:t>Montants de variable « Consultants » pour les grades Manager et plus</w:t>
      </w:r>
    </w:p>
    <w:p>
      <w:pPr>
        <w:pStyle w:val="Paragraphedeliste"/>
        <w:ind w:left="-426" w:right="-238" w:hanging="0"/>
        <w:jc w:val="both"/>
        <w:rPr>
          <w:rFonts w:cs="Calibri"/>
          <w:b/>
          <w:b/>
          <w:iCs/>
          <w:color w:val="000000"/>
          <w:sz w:val="20"/>
          <w:szCs w:val="20"/>
        </w:rPr>
      </w:pPr>
      <w:r>
        <w:rPr>
          <w:rFonts w:cs="Calibri"/>
          <w:b/>
          <w:iCs/>
          <w:color w:val="000000"/>
          <w:sz w:val="20"/>
          <w:szCs w:val="20"/>
        </w:rPr>
      </w:r>
    </w:p>
    <w:p>
      <w:pPr>
        <w:pStyle w:val="Paragraphedeliste"/>
        <w:ind w:left="-426" w:right="-238" w:hanging="0"/>
        <w:jc w:val="both"/>
        <w:rPr>
          <w:rFonts w:cs="Calibri"/>
          <w:color w:val="000000"/>
          <w:sz w:val="20"/>
          <w:szCs w:val="20"/>
        </w:rPr>
      </w:pPr>
      <w:r>
        <w:rPr>
          <w:rFonts w:cs="Calibri"/>
          <w:color w:val="000000"/>
          <w:sz w:val="20"/>
          <w:szCs w:val="20"/>
          <w:u w:val="single"/>
        </w:rPr>
        <w:t xml:space="preserve">Pour les Managers et Senior Managers </w:t>
      </w:r>
      <w:r>
        <w:rPr>
          <w:rFonts w:cs="Calibri"/>
          <w:color w:val="000000"/>
          <w:sz w:val="20"/>
          <w:szCs w:val="20"/>
        </w:rPr>
        <w:t xml:space="preserve"> </w:t>
      </w:r>
    </w:p>
    <w:p>
      <w:pPr>
        <w:pStyle w:val="Paragraphedeliste"/>
        <w:ind w:left="-426" w:right="-238" w:hanging="0"/>
        <w:jc w:val="both"/>
        <w:rPr>
          <w:rFonts w:cs="Calibri"/>
          <w:color w:val="000000"/>
          <w:sz w:val="20"/>
          <w:szCs w:val="20"/>
        </w:rPr>
      </w:pPr>
      <w:r>
        <w:rPr>
          <w:rFonts w:cs="Calibri"/>
          <w:color w:val="000000"/>
          <w:sz w:val="20"/>
          <w:szCs w:val="20"/>
        </w:rPr>
        <w:t>Les montants de variable sont fonction de la note de performance et s’expriment en % de salaire brut annuel à l’intérieur de fourchettes par note :</w:t>
      </w:r>
    </w:p>
    <w:p>
      <w:pPr>
        <w:pStyle w:val="Paragraphedeliste"/>
        <w:ind w:left="-426" w:right="-238" w:hanging="0"/>
        <w:jc w:val="both"/>
        <w:rPr>
          <w:rFonts w:cs="Calibri"/>
          <w:color w:val="000000"/>
          <w:sz w:val="20"/>
          <w:szCs w:val="20"/>
        </w:rPr>
      </w:pPr>
      <w:r>
        <w:rPr>
          <w:rFonts w:cs="Calibri"/>
          <w:color w:val="000000"/>
          <w:sz w:val="20"/>
          <w:szCs w:val="20"/>
        </w:rPr>
      </w:r>
    </w:p>
    <w:tbl>
      <w:tblPr>
        <w:tblW w:w="7077" w:type="dxa"/>
        <w:jc w:val="left"/>
        <w:tblInd w:w="-431" w:type="dxa"/>
        <w:tblBorders>
          <w:bottom w:val="single" w:sz="4" w:space="0" w:color="000000"/>
          <w:insideH w:val="single" w:sz="4" w:space="0" w:color="000000"/>
        </w:tblBorders>
        <w:tblCellMar>
          <w:top w:w="0" w:type="dxa"/>
          <w:left w:w="108" w:type="dxa"/>
          <w:bottom w:w="0" w:type="dxa"/>
          <w:right w:w="108" w:type="dxa"/>
        </w:tblCellMar>
      </w:tblPr>
      <w:tblGrid>
        <w:gridCol w:w="1766"/>
        <w:gridCol w:w="1767"/>
        <w:gridCol w:w="1767"/>
        <w:gridCol w:w="1777"/>
      </w:tblGrid>
      <w:tr>
        <w:trPr/>
        <w:tc>
          <w:tcPr>
            <w:tcW w:w="1766" w:type="dxa"/>
            <w:tcBorders>
              <w:bottom w:val="single" w:sz="4" w:space="0" w:color="000000"/>
              <w:insideH w:val="single" w:sz="4" w:space="0" w:color="000000"/>
            </w:tcBorders>
            <w:shd w:fill="auto" w:val="clear"/>
          </w:tcPr>
          <w:p>
            <w:pPr>
              <w:pStyle w:val="Paragraphedeliste"/>
              <w:snapToGrid w:val="false"/>
              <w:ind w:left="0" w:right="-238" w:hanging="0"/>
              <w:jc w:val="both"/>
              <w:rPr>
                <w:rFonts w:cs="Calibri"/>
                <w:b/>
                <w:b/>
                <w:iCs/>
                <w:color w:val="7030A0"/>
                <w:sz w:val="20"/>
                <w:szCs w:val="20"/>
              </w:rPr>
            </w:pPr>
            <w:r>
              <w:rPr>
                <w:rFonts w:cs="Calibri"/>
                <w:b/>
                <w:iCs/>
                <w:color w:val="7030A0"/>
                <w:sz w:val="20"/>
                <w:szCs w:val="20"/>
              </w:rPr>
            </w:r>
          </w:p>
        </w:tc>
        <w:tc>
          <w:tcPr>
            <w:tcW w:w="176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271" w:right="-238" w:hanging="0"/>
              <w:jc w:val="center"/>
              <w:rPr>
                <w:rFonts w:cs="Calibri"/>
                <w:b/>
                <w:b/>
                <w:iCs/>
                <w:color w:val="FFFFFF"/>
                <w:sz w:val="20"/>
                <w:szCs w:val="20"/>
              </w:rPr>
            </w:pPr>
            <w:r>
              <w:rPr>
                <w:rFonts w:cs="Calibri"/>
                <w:b/>
                <w:iCs/>
                <w:color w:val="FFFFFF"/>
                <w:sz w:val="20"/>
                <w:szCs w:val="20"/>
              </w:rPr>
              <w:t>GP</w:t>
            </w:r>
          </w:p>
        </w:tc>
        <w:tc>
          <w:tcPr>
            <w:tcW w:w="176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191" w:right="-238" w:hanging="0"/>
              <w:jc w:val="center"/>
              <w:rPr>
                <w:rFonts w:cs="Calibri"/>
                <w:b/>
                <w:b/>
                <w:iCs/>
                <w:color w:val="FFFFFF"/>
                <w:sz w:val="20"/>
                <w:szCs w:val="20"/>
              </w:rPr>
            </w:pPr>
            <w:r>
              <w:rPr>
                <w:rFonts w:cs="Calibri"/>
                <w:b/>
                <w:iCs/>
                <w:color w:val="FFFFFF"/>
                <w:sz w:val="20"/>
                <w:szCs w:val="20"/>
              </w:rPr>
              <w:t>SP</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7030A0" w:val="clear"/>
            <w:tcMar>
              <w:left w:w="103" w:type="dxa"/>
            </w:tcMar>
          </w:tcPr>
          <w:p>
            <w:pPr>
              <w:pStyle w:val="Paragraphedeliste"/>
              <w:ind w:left="-263" w:right="-238" w:hanging="0"/>
              <w:jc w:val="center"/>
              <w:rPr>
                <w:rFonts w:cs="Calibri"/>
                <w:b/>
                <w:b/>
                <w:iCs/>
                <w:color w:val="FFFFFF"/>
                <w:sz w:val="20"/>
                <w:szCs w:val="20"/>
              </w:rPr>
            </w:pPr>
            <w:r>
              <w:rPr>
                <w:rFonts w:cs="Calibri"/>
                <w:b/>
                <w:iCs/>
                <w:color w:val="FFFFFF"/>
                <w:sz w:val="20"/>
                <w:szCs w:val="20"/>
              </w:rPr>
              <w:t>EP</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Manager/ SM</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5 à 15%</w:t>
            </w:r>
          </w:p>
        </w:tc>
        <w:tc>
          <w:tcPr>
            <w:tcW w:w="176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15 à 25%</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63" w:right="-238" w:hanging="0"/>
              <w:jc w:val="center"/>
              <w:rPr>
                <w:rFonts w:cs="Calibri"/>
                <w:bCs/>
                <w:iCs/>
                <w:sz w:val="20"/>
                <w:szCs w:val="20"/>
              </w:rPr>
            </w:pPr>
            <w:r>
              <w:rPr>
                <w:rFonts w:cs="Calibri"/>
                <w:bCs/>
                <w:iCs/>
                <w:sz w:val="20"/>
                <w:szCs w:val="20"/>
              </w:rPr>
              <w:t>30 à 40%</w:t>
            </w:r>
          </w:p>
        </w:tc>
      </w:tr>
    </w:tbl>
    <w:p>
      <w:pPr>
        <w:pStyle w:val="Paragraphedeliste"/>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u w:val="single"/>
        </w:rPr>
      </w:pPr>
      <w:r>
        <w:rPr>
          <w:rFonts w:cs="Calibri"/>
          <w:color w:val="000000"/>
          <w:sz w:val="20"/>
          <w:szCs w:val="20"/>
          <w:u w:val="single"/>
        </w:rPr>
        <w:t xml:space="preserve">Pour les Directeurs Associés </w:t>
      </w:r>
    </w:p>
    <w:p>
      <w:pPr>
        <w:pStyle w:val="Paragraphedeliste"/>
        <w:ind w:left="-426" w:right="-238" w:hanging="0"/>
        <w:jc w:val="both"/>
        <w:rPr>
          <w:rFonts w:cs="Calibri"/>
          <w:color w:val="000000"/>
          <w:sz w:val="20"/>
          <w:szCs w:val="20"/>
        </w:rPr>
      </w:pPr>
      <w:r>
        <w:rPr>
          <w:rFonts w:cs="Calibri"/>
          <w:color w:val="000000"/>
          <w:sz w:val="20"/>
          <w:szCs w:val="20"/>
        </w:rPr>
        <w:t>Les montants de variable sont fonction de la note de performance et s’expriment en montants (euros) :</w:t>
      </w:r>
    </w:p>
    <w:p>
      <w:pPr>
        <w:pStyle w:val="Paragraphedeliste"/>
        <w:ind w:left="-426" w:right="-238" w:hanging="0"/>
        <w:jc w:val="both"/>
        <w:rPr>
          <w:rFonts w:cs="Calibri"/>
          <w:color w:val="000000"/>
          <w:sz w:val="20"/>
          <w:szCs w:val="20"/>
        </w:rPr>
      </w:pPr>
      <w:r>
        <w:rPr>
          <w:rFonts w:cs="Calibri"/>
          <w:color w:val="000000"/>
          <w:sz w:val="20"/>
          <w:szCs w:val="20"/>
        </w:rPr>
      </w:r>
    </w:p>
    <w:tbl>
      <w:tblPr>
        <w:tblW w:w="8297" w:type="dxa"/>
        <w:jc w:val="left"/>
        <w:tblInd w:w="-431" w:type="dxa"/>
        <w:tblBorders>
          <w:bottom w:val="single" w:sz="4" w:space="0" w:color="000000"/>
          <w:insideH w:val="single" w:sz="4" w:space="0" w:color="000000"/>
        </w:tblBorders>
        <w:tblCellMar>
          <w:top w:w="0" w:type="dxa"/>
          <w:left w:w="108" w:type="dxa"/>
          <w:bottom w:w="0" w:type="dxa"/>
          <w:right w:w="108" w:type="dxa"/>
        </w:tblCellMar>
      </w:tblPr>
      <w:tblGrid>
        <w:gridCol w:w="1766"/>
        <w:gridCol w:w="2497"/>
        <w:gridCol w:w="2465"/>
        <w:gridCol w:w="1569"/>
      </w:tblGrid>
      <w:tr>
        <w:trPr/>
        <w:tc>
          <w:tcPr>
            <w:tcW w:w="1766" w:type="dxa"/>
            <w:tcBorders>
              <w:bottom w:val="single" w:sz="4" w:space="0" w:color="000000"/>
              <w:insideH w:val="single" w:sz="4" w:space="0" w:color="000000"/>
            </w:tcBorders>
            <w:shd w:fill="auto" w:val="clear"/>
          </w:tcPr>
          <w:p>
            <w:pPr>
              <w:pStyle w:val="Paragraphedeliste"/>
              <w:snapToGrid w:val="false"/>
              <w:ind w:left="0" w:right="-238" w:hanging="0"/>
              <w:jc w:val="both"/>
              <w:rPr>
                <w:rFonts w:cs="Calibri"/>
                <w:b/>
                <w:b/>
                <w:iCs/>
                <w:color w:val="7030A0"/>
                <w:sz w:val="20"/>
                <w:szCs w:val="20"/>
              </w:rPr>
            </w:pPr>
            <w:r>
              <w:rPr>
                <w:rFonts w:cs="Calibri"/>
                <w:b/>
                <w:iCs/>
                <w:color w:val="7030A0"/>
                <w:sz w:val="20"/>
                <w:szCs w:val="20"/>
              </w:rPr>
            </w:r>
          </w:p>
        </w:tc>
        <w:tc>
          <w:tcPr>
            <w:tcW w:w="2497"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271" w:right="-238" w:hanging="0"/>
              <w:jc w:val="center"/>
              <w:rPr>
                <w:rFonts w:cs="Calibri"/>
                <w:b/>
                <w:b/>
                <w:iCs/>
                <w:color w:val="FFFFFF"/>
                <w:sz w:val="20"/>
                <w:szCs w:val="20"/>
              </w:rPr>
            </w:pPr>
            <w:r>
              <w:rPr>
                <w:rFonts w:cs="Calibri"/>
                <w:b/>
                <w:iCs/>
                <w:color w:val="FFFFFF"/>
                <w:sz w:val="20"/>
                <w:szCs w:val="20"/>
              </w:rPr>
              <w:t>GP</w:t>
            </w:r>
          </w:p>
        </w:tc>
        <w:tc>
          <w:tcPr>
            <w:tcW w:w="2465"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191" w:right="-238" w:hanging="0"/>
              <w:jc w:val="center"/>
              <w:rPr>
                <w:rFonts w:cs="Calibri"/>
                <w:b/>
                <w:b/>
                <w:iCs/>
                <w:color w:val="FFFFFF"/>
                <w:sz w:val="20"/>
                <w:szCs w:val="20"/>
              </w:rPr>
            </w:pPr>
            <w:r>
              <w:rPr>
                <w:rFonts w:cs="Calibri"/>
                <w:b/>
                <w:iCs/>
                <w:color w:val="FFFFFF"/>
                <w:sz w:val="20"/>
                <w:szCs w:val="20"/>
              </w:rPr>
              <w:t>SP</w:t>
            </w:r>
          </w:p>
        </w:tc>
        <w:tc>
          <w:tcPr>
            <w:tcW w:w="15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7030A0" w:val="clear"/>
            <w:tcMar>
              <w:left w:w="103" w:type="dxa"/>
            </w:tcMar>
          </w:tcPr>
          <w:p>
            <w:pPr>
              <w:pStyle w:val="Paragraphedeliste"/>
              <w:ind w:left="-250" w:right="-238" w:hanging="0"/>
              <w:jc w:val="center"/>
              <w:rPr>
                <w:rFonts w:cs="Calibri"/>
                <w:b/>
                <w:b/>
                <w:iCs/>
                <w:color w:val="FFFFFF"/>
                <w:sz w:val="20"/>
                <w:szCs w:val="20"/>
              </w:rPr>
            </w:pPr>
            <w:r>
              <w:rPr>
                <w:rFonts w:cs="Calibri"/>
                <w:b/>
                <w:iCs/>
                <w:color w:val="FFFFFF"/>
                <w:sz w:val="20"/>
                <w:szCs w:val="20"/>
              </w:rPr>
              <w:t>EP</w:t>
            </w:r>
          </w:p>
        </w:tc>
      </w:tr>
      <w:tr>
        <w:trPr/>
        <w:tc>
          <w:tcPr>
            <w:tcW w:w="1766" w:type="dxa"/>
            <w:tcBorders>
              <w:top w:val="single" w:sz="4" w:space="0" w:color="000000"/>
              <w:left w:val="single" w:sz="4" w:space="0" w:color="000000"/>
              <w:bottom w:val="single" w:sz="4" w:space="0" w:color="000000"/>
              <w:insideH w:val="single" w:sz="4" w:space="0" w:color="000000"/>
            </w:tcBorders>
            <w:shd w:fill="7030A0" w:val="clear"/>
            <w:tcMar>
              <w:left w:w="103" w:type="dxa"/>
            </w:tcMar>
          </w:tcPr>
          <w:p>
            <w:pPr>
              <w:pStyle w:val="Paragraphedeliste"/>
              <w:ind w:left="0" w:right="-238" w:hanging="0"/>
              <w:jc w:val="both"/>
              <w:rPr>
                <w:rFonts w:cs="Calibri"/>
                <w:b/>
                <w:b/>
                <w:iCs/>
                <w:color w:val="FFFFFF"/>
                <w:sz w:val="20"/>
                <w:szCs w:val="20"/>
              </w:rPr>
            </w:pPr>
            <w:r>
              <w:rPr>
                <w:rFonts w:cs="Calibri"/>
                <w:b/>
                <w:iCs/>
                <w:color w:val="FFFFFF"/>
                <w:sz w:val="20"/>
                <w:szCs w:val="20"/>
              </w:rPr>
              <w:t>Directors</w:t>
            </w:r>
          </w:p>
        </w:tc>
        <w:tc>
          <w:tcPr>
            <w:tcW w:w="2497"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271" w:right="-238" w:hanging="0"/>
              <w:jc w:val="center"/>
              <w:rPr>
                <w:rFonts w:cs="Calibri"/>
                <w:bCs/>
                <w:iCs/>
                <w:sz w:val="20"/>
                <w:szCs w:val="20"/>
              </w:rPr>
            </w:pPr>
            <w:r>
              <w:rPr>
                <w:rFonts w:cs="Calibri"/>
                <w:bCs/>
                <w:iCs/>
                <w:sz w:val="20"/>
                <w:szCs w:val="20"/>
              </w:rPr>
              <w:t>15 000 - 20 000 – 25 000</w:t>
            </w:r>
          </w:p>
        </w:tc>
        <w:tc>
          <w:tcPr>
            <w:tcW w:w="2465"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Paragraphedeliste"/>
              <w:ind w:left="-191" w:right="-238" w:hanging="0"/>
              <w:jc w:val="center"/>
              <w:rPr>
                <w:rFonts w:cs="Calibri"/>
                <w:bCs/>
                <w:iCs/>
                <w:sz w:val="20"/>
                <w:szCs w:val="20"/>
              </w:rPr>
            </w:pPr>
            <w:r>
              <w:rPr>
                <w:rFonts w:cs="Calibri"/>
                <w:bCs/>
                <w:iCs/>
                <w:sz w:val="20"/>
                <w:szCs w:val="20"/>
              </w:rPr>
              <w:t>30 000 – 35 000 – 40 000</w:t>
            </w:r>
          </w:p>
        </w:tc>
        <w:tc>
          <w:tcPr>
            <w:tcW w:w="15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Paragraphedeliste"/>
              <w:ind w:left="-250" w:right="-238" w:hanging="0"/>
              <w:jc w:val="center"/>
              <w:rPr>
                <w:rFonts w:cs="Calibri"/>
                <w:bCs/>
                <w:iCs/>
                <w:sz w:val="20"/>
                <w:szCs w:val="20"/>
              </w:rPr>
            </w:pPr>
            <w:r>
              <w:rPr>
                <w:rFonts w:cs="Calibri"/>
                <w:bCs/>
                <w:iCs/>
                <w:sz w:val="20"/>
                <w:szCs w:val="20"/>
              </w:rPr>
              <w:t>50 000</w:t>
            </w:r>
          </w:p>
        </w:tc>
      </w:tr>
    </w:tbl>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sz w:val="20"/>
          <w:szCs w:val="20"/>
        </w:rPr>
      </w:pPr>
      <w:r>
        <w:rPr>
          <w:rFonts w:cs="Calibri"/>
          <w:color w:val="000000"/>
          <w:sz w:val="20"/>
          <w:szCs w:val="20"/>
        </w:rPr>
        <w:t>Quels que soient le grade et la population, des exceptions, validées par le Comex, pourront éventuellement être appliquées et expliquées aux collaborateurs concernés.</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Heading2"/>
        <w:keepLines/>
        <w:numPr>
          <w:ilvl w:val="2"/>
          <w:numId w:val="9"/>
        </w:numPr>
        <w:ind w:left="851" w:right="-238" w:hanging="1277"/>
        <w:jc w:val="left"/>
        <w:rPr>
          <w:rFonts w:ascii="Calibri" w:hAnsi="Calibri" w:cs="Calibri"/>
          <w:color w:val="00B0F0"/>
          <w:sz w:val="20"/>
          <w:szCs w:val="20"/>
        </w:rPr>
      </w:pPr>
      <w:r>
        <w:rPr>
          <w:rFonts w:cs="Calibri" w:ascii="Calibri" w:hAnsi="Calibri"/>
          <w:color w:val="00B0F0"/>
          <w:sz w:val="20"/>
          <w:szCs w:val="20"/>
        </w:rPr>
        <w:t>Population Support</w:t>
      </w:r>
    </w:p>
    <w:p>
      <w:pPr>
        <w:pStyle w:val="Normal"/>
        <w:ind w:left="-426" w:right="-238" w:hanging="0"/>
        <w:rPr>
          <w:rFonts w:ascii="Calibri" w:hAnsi="Calibri" w:cs="Calibri"/>
          <w:color w:val="00B0F0"/>
          <w:sz w:val="20"/>
          <w:szCs w:val="20"/>
        </w:rPr>
      </w:pPr>
      <w:r>
        <w:rPr>
          <w:rFonts w:cs="Calibri" w:ascii="Calibri" w:hAnsi="Calibri"/>
          <w:color w:val="00B0F0"/>
          <w:sz w:val="20"/>
          <w:szCs w:val="20"/>
        </w:rPr>
      </w:r>
    </w:p>
    <w:p>
      <w:pPr>
        <w:pStyle w:val="Paragraphedeliste"/>
        <w:tabs>
          <w:tab w:val="left" w:pos="-142" w:leader="none"/>
        </w:tabs>
        <w:ind w:left="-426" w:right="-238" w:hanging="0"/>
        <w:jc w:val="both"/>
        <w:rPr>
          <w:rFonts w:cs="Calibri"/>
          <w:color w:val="000000"/>
          <w:sz w:val="20"/>
          <w:szCs w:val="20"/>
          <w:u w:val="single"/>
        </w:rPr>
      </w:pPr>
      <w:r>
        <w:rPr>
          <w:rFonts w:cs="Calibri"/>
          <w:color w:val="000000"/>
          <w:sz w:val="20"/>
          <w:szCs w:val="20"/>
          <w:u w:val="single"/>
        </w:rPr>
        <w:t>Enveloppe de variable versée en 2022</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L’enveloppe consacrée à la rémunération variable sera de 485K€ (cotisations patronales comprises).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ind w:left="-426" w:right="-238" w:hanging="0"/>
        <w:jc w:val="both"/>
        <w:rPr>
          <w:rFonts w:cs="Calibri"/>
          <w:color w:val="000000"/>
          <w:sz w:val="20"/>
          <w:szCs w:val="20"/>
        </w:rPr>
      </w:pPr>
      <w:r>
        <w:rPr>
          <w:rFonts w:cs="Calibri"/>
          <w:b/>
          <w:iCs/>
          <w:color w:val="7030A0"/>
          <w:sz w:val="20"/>
          <w:szCs w:val="20"/>
        </w:rPr>
        <w:t>Montants de bonus « Supports » </w:t>
      </w:r>
      <w:r>
        <w:rPr>
          <w:rFonts w:cs="Calibri"/>
          <w:color w:val="000000"/>
          <w:sz w:val="20"/>
          <w:szCs w:val="20"/>
        </w:rPr>
        <w:t xml:space="preserve"> </w:t>
      </w:r>
    </w:p>
    <w:p>
      <w:pPr>
        <w:pStyle w:val="Paragraphedeliste"/>
        <w:ind w:left="-426" w:right="-238" w:hanging="0"/>
        <w:jc w:val="both"/>
        <w:rPr>
          <w:rFonts w:cs="Calibri"/>
          <w:color w:val="000000"/>
          <w:sz w:val="20"/>
          <w:szCs w:val="20"/>
        </w:rPr>
      </w:pPr>
      <w:r>
        <w:rPr>
          <w:rFonts w:cs="Calibri"/>
          <w:color w:val="000000"/>
          <w:sz w:val="20"/>
          <w:szCs w:val="20"/>
        </w:rPr>
        <w:t>Les montants de bonus sont fonction de la note de performance et s’expriment en montants (euros) :</w:t>
      </w:r>
    </w:p>
    <w:tbl>
      <w:tblPr>
        <w:tblW w:w="6824" w:type="dxa"/>
        <w:jc w:val="left"/>
        <w:tblInd w:w="1063" w:type="dxa"/>
        <w:tblBorders/>
        <w:tblCellMar>
          <w:top w:w="0" w:type="dxa"/>
          <w:left w:w="70" w:type="dxa"/>
          <w:bottom w:w="0" w:type="dxa"/>
          <w:right w:w="70" w:type="dxa"/>
        </w:tblCellMar>
      </w:tblPr>
      <w:tblGrid>
        <w:gridCol w:w="1388"/>
        <w:gridCol w:w="783"/>
        <w:gridCol w:w="947"/>
        <w:gridCol w:w="961"/>
        <w:gridCol w:w="1024"/>
        <w:gridCol w:w="884"/>
        <w:gridCol w:w="817"/>
        <w:gridCol w:w="20"/>
      </w:tblGrid>
      <w:tr>
        <w:trPr>
          <w:trHeight w:val="248" w:hRule="atLeast"/>
        </w:trPr>
        <w:tc>
          <w:tcPr>
            <w:tcW w:w="6804" w:type="dxa"/>
            <w:gridSpan w:val="7"/>
            <w:tcBorders/>
            <w:shd w:fill="auto" w:val="clear"/>
            <w:vAlign w:val="center"/>
          </w:tcPr>
          <w:p>
            <w:pPr>
              <w:pStyle w:val="Normal"/>
              <w:snapToGrid w:val="false"/>
              <w:jc w:val="center"/>
              <w:rPr>
                <w:rFonts w:ascii="Calibri" w:hAnsi="Calibri" w:cs="Calibri"/>
                <w:b/>
                <w:b/>
                <w:bCs/>
                <w:color w:val="00B0F0"/>
                <w:sz w:val="20"/>
                <w:szCs w:val="20"/>
              </w:rPr>
            </w:pPr>
            <w:r>
              <w:rPr>
                <w:rFonts w:cs="Calibri" w:ascii="Calibri" w:hAnsi="Calibri"/>
                <w:b/>
                <w:bCs/>
                <w:color w:val="00B0F0"/>
                <w:sz w:val="20"/>
                <w:szCs w:val="20"/>
              </w:rPr>
            </w:r>
          </w:p>
        </w:tc>
      </w:tr>
      <w:tr>
        <w:trPr>
          <w:trHeight w:val="238" w:hRule="atLeast"/>
        </w:trPr>
        <w:tc>
          <w:tcPr>
            <w:tcW w:w="1388" w:type="dxa"/>
            <w:tcBorders/>
            <w:shd w:fill="auto" w:val="clear"/>
            <w:vAlign w:val="center"/>
          </w:tcPr>
          <w:p>
            <w:pPr>
              <w:pStyle w:val="Normal"/>
              <w:snapToGrid w:val="false"/>
              <w:jc w:val="center"/>
              <w:rPr>
                <w:rFonts w:ascii="Calibri" w:hAnsi="Calibri" w:cs="Calibri"/>
                <w:b/>
                <w:b/>
                <w:bCs/>
                <w:color w:val="FFFFFF"/>
                <w:sz w:val="20"/>
                <w:szCs w:val="20"/>
              </w:rPr>
            </w:pPr>
            <w:r>
              <w:rPr>
                <w:rFonts w:cs="Calibri" w:ascii="Calibri" w:hAnsi="Calibri"/>
                <w:b/>
                <w:bCs/>
                <w:color w:val="FFFFFF"/>
                <w:sz w:val="20"/>
                <w:szCs w:val="20"/>
              </w:rPr>
            </w:r>
          </w:p>
        </w:tc>
        <w:tc>
          <w:tcPr>
            <w:tcW w:w="783" w:type="dxa"/>
            <w:vMerge w:val="restart"/>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color w:val="FFFFFF"/>
                <w:sz w:val="20"/>
                <w:szCs w:val="20"/>
              </w:rPr>
              <w:t>UP/IR</w:t>
            </w:r>
          </w:p>
        </w:tc>
        <w:tc>
          <w:tcPr>
            <w:tcW w:w="1908" w:type="dxa"/>
            <w:gridSpan w:val="2"/>
            <w:tcBorders/>
            <w:shd w:fill="7030A0" w:val="clear"/>
            <w:tcMar>
              <w:left w:w="0" w:type="dxa"/>
              <w:right w:w="0" w:type="dxa"/>
            </w:tcMar>
            <w:vAlign w:val="center"/>
          </w:tcPr>
          <w:p>
            <w:pPr>
              <w:pStyle w:val="Normal"/>
              <w:jc w:val="center"/>
              <w:rPr>
                <w:rFonts w:ascii="Calibri" w:hAnsi="Calibri" w:cs="Calibri"/>
                <w:b/>
                <w:b/>
                <w:bCs/>
                <w:color w:val="FFFFFF"/>
                <w:sz w:val="20"/>
                <w:szCs w:val="20"/>
              </w:rPr>
            </w:pPr>
            <w:r>
              <w:rPr>
                <w:rFonts w:cs="Calibri" w:ascii="Calibri" w:hAnsi="Calibri"/>
                <w:b/>
                <w:bCs/>
                <w:color w:val="FFFFFF"/>
                <w:sz w:val="20"/>
                <w:szCs w:val="20"/>
              </w:rPr>
              <w:t>GP</w:t>
            </w:r>
          </w:p>
        </w:tc>
        <w:tc>
          <w:tcPr>
            <w:tcW w:w="1908" w:type="dxa"/>
            <w:gridSpan w:val="2"/>
            <w:tcBorders/>
            <w:shd w:fill="7030A0" w:val="clear"/>
            <w:tcMar>
              <w:left w:w="0" w:type="dxa"/>
              <w:right w:w="0" w:type="dxa"/>
            </w:tcMar>
            <w:vAlign w:val="center"/>
          </w:tcPr>
          <w:p>
            <w:pPr>
              <w:pStyle w:val="Normal"/>
              <w:jc w:val="center"/>
              <w:rPr>
                <w:rFonts w:ascii="Calibri" w:hAnsi="Calibri" w:cs="Calibri"/>
                <w:b/>
                <w:b/>
                <w:bCs/>
                <w:color w:val="FFFFFF"/>
                <w:sz w:val="20"/>
                <w:szCs w:val="20"/>
              </w:rPr>
            </w:pPr>
            <w:r>
              <w:rPr>
                <w:rFonts w:cs="Calibri" w:ascii="Calibri" w:hAnsi="Calibri"/>
                <w:b/>
                <w:bCs/>
                <w:color w:val="FFFFFF"/>
                <w:sz w:val="20"/>
                <w:szCs w:val="20"/>
              </w:rPr>
              <w:t>SP</w:t>
            </w:r>
          </w:p>
        </w:tc>
        <w:tc>
          <w:tcPr>
            <w:tcW w:w="837" w:type="dxa"/>
            <w:vMerge w:val="restart"/>
            <w:tcBorders>
              <w:right w:val="single" w:sz="8" w:space="0" w:color="000000"/>
              <w:insideV w:val="single" w:sz="8" w:space="0" w:color="000000"/>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color w:val="FFFFFF"/>
                <w:sz w:val="20"/>
                <w:szCs w:val="20"/>
              </w:rPr>
              <w:t>EP</w:t>
            </w:r>
          </w:p>
        </w:tc>
      </w:tr>
      <w:tr>
        <w:trPr>
          <w:trHeight w:val="238" w:hRule="atLeast"/>
        </w:trPr>
        <w:tc>
          <w:tcPr>
            <w:tcW w:w="1388" w:type="dxa"/>
            <w:tcBorders/>
            <w:shd w:fill="auto" w:val="clear"/>
            <w:vAlign w:val="center"/>
          </w:tcPr>
          <w:p>
            <w:pPr>
              <w:pStyle w:val="Normal"/>
              <w:snapToGrid w:val="false"/>
              <w:jc w:val="center"/>
              <w:rPr>
                <w:rFonts w:ascii="Calibri" w:hAnsi="Calibri" w:cs="Calibri"/>
                <w:b/>
                <w:b/>
                <w:bCs/>
                <w:color w:val="FFFFFF"/>
                <w:sz w:val="20"/>
                <w:szCs w:val="20"/>
              </w:rPr>
            </w:pPr>
            <w:r>
              <w:rPr>
                <w:rFonts w:cs="Calibri" w:ascii="Calibri" w:hAnsi="Calibri"/>
                <w:b/>
                <w:bCs/>
                <w:color w:val="FFFFFF"/>
                <w:sz w:val="20"/>
                <w:szCs w:val="20"/>
              </w:rPr>
            </w:r>
          </w:p>
        </w:tc>
        <w:tc>
          <w:tcPr>
            <w:tcW w:w="783" w:type="dxa"/>
            <w:vMerge w:val="continue"/>
            <w:tcBorders/>
            <w:shd w:fill="7030A0" w:val="clear"/>
            <w:tcMar>
              <w:left w:w="0" w:type="dxa"/>
              <w:right w:w="0" w:type="dxa"/>
            </w:tcMar>
            <w:vAlign w:val="center"/>
          </w:tcPr>
          <w:p>
            <w:pPr>
              <w:pStyle w:val="Normal"/>
              <w:snapToGrid w:val="false"/>
              <w:jc w:val="center"/>
              <w:rPr>
                <w:rFonts w:ascii="Calibri" w:hAnsi="Calibri" w:cs="Calibri"/>
                <w:b/>
                <w:b/>
                <w:bCs/>
                <w:color w:val="FFFFFF"/>
                <w:sz w:val="20"/>
                <w:szCs w:val="20"/>
              </w:rPr>
            </w:pPr>
            <w:r>
              <w:rPr>
                <w:rFonts w:cs="Calibri" w:ascii="Calibri" w:hAnsi="Calibri"/>
                <w:b/>
                <w:bCs/>
                <w:color w:val="FFFFFF"/>
                <w:sz w:val="20"/>
                <w:szCs w:val="20"/>
              </w:rPr>
            </w:r>
          </w:p>
        </w:tc>
        <w:tc>
          <w:tcPr>
            <w:tcW w:w="947" w:type="dxa"/>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b/>
                <w:bCs/>
                <w:color w:val="FFFFFF"/>
                <w:sz w:val="20"/>
                <w:szCs w:val="20"/>
              </w:rPr>
              <w:t>mini</w:t>
            </w:r>
          </w:p>
        </w:tc>
        <w:tc>
          <w:tcPr>
            <w:tcW w:w="961" w:type="dxa"/>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b/>
                <w:bCs/>
                <w:color w:val="FFFFFF"/>
                <w:sz w:val="20"/>
                <w:szCs w:val="20"/>
              </w:rPr>
              <w:t>maxi</w:t>
            </w:r>
          </w:p>
        </w:tc>
        <w:tc>
          <w:tcPr>
            <w:tcW w:w="1024" w:type="dxa"/>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b/>
                <w:bCs/>
                <w:color w:val="FFFFFF"/>
                <w:sz w:val="20"/>
                <w:szCs w:val="20"/>
              </w:rPr>
              <w:t>mini</w:t>
            </w:r>
          </w:p>
        </w:tc>
        <w:tc>
          <w:tcPr>
            <w:tcW w:w="884" w:type="dxa"/>
            <w:tcBorders/>
            <w:shd w:fill="7030A0" w:val="clear"/>
            <w:tcMar>
              <w:left w:w="0" w:type="dxa"/>
              <w:right w:w="0" w:type="dxa"/>
            </w:tcMar>
            <w:vAlign w:val="center"/>
          </w:tcPr>
          <w:p>
            <w:pPr>
              <w:pStyle w:val="Normal"/>
              <w:jc w:val="center"/>
              <w:rPr>
                <w:rFonts w:ascii="Calibri" w:hAnsi="Calibri" w:cs="Calibri"/>
                <w:color w:val="FFFFFF"/>
                <w:sz w:val="20"/>
                <w:szCs w:val="20"/>
              </w:rPr>
            </w:pPr>
            <w:r>
              <w:rPr>
                <w:rFonts w:cs="Calibri" w:ascii="Calibri" w:hAnsi="Calibri"/>
                <w:b/>
                <w:bCs/>
                <w:color w:val="FFFFFF"/>
                <w:sz w:val="20"/>
                <w:szCs w:val="20"/>
              </w:rPr>
              <w:t>maxi</w:t>
            </w:r>
          </w:p>
        </w:tc>
        <w:tc>
          <w:tcPr>
            <w:tcW w:w="837" w:type="dxa"/>
            <w:vMerge w:val="continue"/>
            <w:tcBorders>
              <w:right w:val="single" w:sz="8" w:space="0" w:color="000000"/>
              <w:insideV w:val="single" w:sz="8" w:space="0" w:color="000000"/>
            </w:tcBorders>
            <w:shd w:fill="7030A0" w:val="clear"/>
            <w:tcMar>
              <w:left w:w="0" w:type="dxa"/>
              <w:right w:w="0" w:type="dxa"/>
            </w:tcMar>
            <w:vAlign w:val="center"/>
          </w:tcPr>
          <w:p>
            <w:pPr>
              <w:pStyle w:val="Normal"/>
              <w:snapToGrid w:val="false"/>
              <w:jc w:val="center"/>
              <w:rPr>
                <w:rFonts w:ascii="Calibri" w:hAnsi="Calibri" w:cs="Calibri"/>
                <w:color w:val="FFFFFF"/>
                <w:sz w:val="20"/>
                <w:szCs w:val="20"/>
              </w:rPr>
            </w:pPr>
            <w:r>
              <w:rPr>
                <w:rFonts w:cs="Calibri" w:ascii="Calibri" w:hAnsi="Calibri"/>
                <w:color w:val="FFFFFF"/>
                <w:sz w:val="20"/>
                <w:szCs w:val="20"/>
              </w:rPr>
            </w:r>
          </w:p>
        </w:tc>
      </w:tr>
      <w:tr>
        <w:trPr>
          <w:trHeight w:val="238" w:hRule="atLeast"/>
        </w:trPr>
        <w:tc>
          <w:tcPr>
            <w:tcW w:w="1388" w:type="dxa"/>
            <w:tcBorders>
              <w:bottom w:val="single" w:sz="8" w:space="0" w:color="000000"/>
              <w:insideH w:val="single" w:sz="8" w:space="0" w:color="000000"/>
            </w:tcBorders>
            <w:shd w:fill="D9D9D9" w:val="clear"/>
            <w:vAlign w:val="center"/>
          </w:tcPr>
          <w:p>
            <w:pPr>
              <w:pStyle w:val="Normal"/>
              <w:jc w:val="center"/>
              <w:rPr>
                <w:rFonts w:ascii="Calibri" w:hAnsi="Calibri" w:cs="Calibri"/>
                <w:sz w:val="20"/>
                <w:szCs w:val="20"/>
              </w:rPr>
            </w:pPr>
            <w:r>
              <w:rPr>
                <w:rFonts w:cs="Calibri" w:ascii="Calibri" w:hAnsi="Calibri"/>
                <w:sz w:val="20"/>
                <w:szCs w:val="20"/>
              </w:rPr>
              <w:t>Officer</w:t>
            </w:r>
          </w:p>
        </w:tc>
        <w:tc>
          <w:tcPr>
            <w:tcW w:w="783"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947"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500</w:t>
            </w:r>
          </w:p>
        </w:tc>
        <w:tc>
          <w:tcPr>
            <w:tcW w:w="961"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2 500</w:t>
            </w:r>
          </w:p>
        </w:tc>
        <w:tc>
          <w:tcPr>
            <w:tcW w:w="1024"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2 500</w:t>
            </w:r>
          </w:p>
        </w:tc>
        <w:tc>
          <w:tcPr>
            <w:tcW w:w="884"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3 500</w:t>
            </w:r>
          </w:p>
        </w:tc>
        <w:tc>
          <w:tcPr>
            <w:tcW w:w="817" w:type="dxa"/>
            <w:tcBorders>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4 000</w:t>
            </w:r>
          </w:p>
        </w:tc>
      </w:tr>
      <w:tr>
        <w:trPr>
          <w:trHeight w:val="238" w:hRule="atLeast"/>
        </w:trPr>
        <w:tc>
          <w:tcPr>
            <w:tcW w:w="1388" w:type="dxa"/>
            <w:tcBorders>
              <w:top w:val="single" w:sz="8" w:space="0" w:color="000000"/>
              <w:bottom w:val="single" w:sz="8" w:space="0" w:color="000000"/>
              <w:insideH w:val="single" w:sz="8" w:space="0" w:color="000000"/>
            </w:tcBorders>
            <w:shd w:fill="auto" w:val="clear"/>
            <w:vAlign w:val="center"/>
          </w:tcPr>
          <w:p>
            <w:pPr>
              <w:pStyle w:val="Normal"/>
              <w:jc w:val="center"/>
              <w:rPr>
                <w:rFonts w:ascii="Calibri" w:hAnsi="Calibri" w:cs="Calibri"/>
                <w:sz w:val="20"/>
                <w:szCs w:val="20"/>
              </w:rPr>
            </w:pPr>
            <w:r>
              <w:rPr>
                <w:rFonts w:cs="Calibri" w:ascii="Calibri" w:hAnsi="Calibri"/>
                <w:sz w:val="20"/>
                <w:szCs w:val="20"/>
              </w:rPr>
              <w:t>Advisor</w:t>
            </w:r>
          </w:p>
        </w:tc>
        <w:tc>
          <w:tcPr>
            <w:tcW w:w="783"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947"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2 000</w:t>
            </w:r>
          </w:p>
        </w:tc>
        <w:tc>
          <w:tcPr>
            <w:tcW w:w="961"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3 500</w:t>
            </w:r>
          </w:p>
        </w:tc>
        <w:tc>
          <w:tcPr>
            <w:tcW w:w="1024"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3 500</w:t>
            </w:r>
          </w:p>
        </w:tc>
        <w:tc>
          <w:tcPr>
            <w:tcW w:w="884"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4 500</w:t>
            </w:r>
          </w:p>
        </w:tc>
        <w:tc>
          <w:tcPr>
            <w:tcW w:w="817"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5 000</w:t>
            </w:r>
          </w:p>
        </w:tc>
      </w:tr>
      <w:tr>
        <w:trPr>
          <w:trHeight w:val="238" w:hRule="atLeast"/>
        </w:trPr>
        <w:tc>
          <w:tcPr>
            <w:tcW w:w="1388" w:type="dxa"/>
            <w:tcBorders>
              <w:top w:val="single" w:sz="8" w:space="0" w:color="000000"/>
              <w:bottom w:val="single" w:sz="8" w:space="0" w:color="000000"/>
              <w:insideH w:val="single" w:sz="8" w:space="0" w:color="000000"/>
            </w:tcBorders>
            <w:shd w:fill="D9D9D9" w:val="clear"/>
            <w:vAlign w:val="center"/>
          </w:tcPr>
          <w:p>
            <w:pPr>
              <w:pStyle w:val="Normal"/>
              <w:jc w:val="center"/>
              <w:rPr>
                <w:rFonts w:ascii="Calibri" w:hAnsi="Calibri" w:cs="Calibri"/>
                <w:sz w:val="20"/>
                <w:szCs w:val="20"/>
              </w:rPr>
            </w:pPr>
            <w:r>
              <w:rPr>
                <w:rFonts w:cs="Calibri" w:ascii="Calibri" w:hAnsi="Calibri"/>
                <w:sz w:val="20"/>
                <w:szCs w:val="20"/>
              </w:rPr>
              <w:t>Advisor resp</w:t>
            </w:r>
          </w:p>
        </w:tc>
        <w:tc>
          <w:tcPr>
            <w:tcW w:w="783"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947"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3 500</w:t>
            </w:r>
          </w:p>
        </w:tc>
        <w:tc>
          <w:tcPr>
            <w:tcW w:w="961"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6 000</w:t>
            </w:r>
          </w:p>
        </w:tc>
        <w:tc>
          <w:tcPr>
            <w:tcW w:w="1024"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6 000</w:t>
            </w:r>
          </w:p>
        </w:tc>
        <w:tc>
          <w:tcPr>
            <w:tcW w:w="884"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7 000</w:t>
            </w:r>
          </w:p>
        </w:tc>
        <w:tc>
          <w:tcPr>
            <w:tcW w:w="817" w:type="dxa"/>
            <w:tcBorders>
              <w:top w:val="single" w:sz="8" w:space="0" w:color="000000"/>
              <w:left w:val="single" w:sz="8" w:space="0" w:color="000000"/>
              <w:bottom w:val="single" w:sz="8" w:space="0" w:color="000000"/>
              <w:insideH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8 000</w:t>
            </w:r>
          </w:p>
        </w:tc>
      </w:tr>
      <w:tr>
        <w:trPr>
          <w:trHeight w:val="238" w:hRule="atLeast"/>
        </w:trPr>
        <w:tc>
          <w:tcPr>
            <w:tcW w:w="1388" w:type="dxa"/>
            <w:tcBorders>
              <w:top w:val="single" w:sz="8" w:space="0" w:color="000000"/>
              <w:bottom w:val="single" w:sz="8" w:space="0" w:color="000000"/>
              <w:insideH w:val="single" w:sz="8" w:space="0" w:color="000000"/>
            </w:tcBorders>
            <w:shd w:fill="auto" w:val="clear"/>
            <w:vAlign w:val="center"/>
          </w:tcPr>
          <w:p>
            <w:pPr>
              <w:pStyle w:val="Normal"/>
              <w:jc w:val="center"/>
              <w:rPr>
                <w:rFonts w:ascii="Calibri" w:hAnsi="Calibri" w:cs="Calibri"/>
                <w:sz w:val="20"/>
                <w:szCs w:val="20"/>
              </w:rPr>
            </w:pPr>
            <w:r>
              <w:rPr>
                <w:rFonts w:cs="Calibri" w:ascii="Calibri" w:hAnsi="Calibri"/>
                <w:sz w:val="20"/>
                <w:szCs w:val="20"/>
              </w:rPr>
              <w:t>Head of</w:t>
            </w:r>
          </w:p>
        </w:tc>
        <w:tc>
          <w:tcPr>
            <w:tcW w:w="783"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947"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6 000</w:t>
            </w:r>
          </w:p>
        </w:tc>
        <w:tc>
          <w:tcPr>
            <w:tcW w:w="961"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8 000</w:t>
            </w:r>
          </w:p>
        </w:tc>
        <w:tc>
          <w:tcPr>
            <w:tcW w:w="1024"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8 000</w:t>
            </w:r>
          </w:p>
        </w:tc>
        <w:tc>
          <w:tcPr>
            <w:tcW w:w="884"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10 000</w:t>
            </w:r>
          </w:p>
        </w:tc>
        <w:tc>
          <w:tcPr>
            <w:tcW w:w="817" w:type="dxa"/>
            <w:tcBorders>
              <w:top w:val="single" w:sz="8" w:space="0" w:color="000000"/>
              <w:left w:val="single" w:sz="8" w:space="0" w:color="000000"/>
              <w:bottom w:val="single" w:sz="8" w:space="0" w:color="000000"/>
              <w:insideH w:val="single" w:sz="8" w:space="0" w:color="000000"/>
            </w:tcBorders>
            <w:shd w:fill="auto"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12 000</w:t>
            </w:r>
          </w:p>
        </w:tc>
      </w:tr>
      <w:tr>
        <w:trPr>
          <w:trHeight w:val="248" w:hRule="atLeast"/>
        </w:trPr>
        <w:tc>
          <w:tcPr>
            <w:tcW w:w="1388" w:type="dxa"/>
            <w:tcBorders>
              <w:top w:val="single" w:sz="8" w:space="0" w:color="000000"/>
            </w:tcBorders>
            <w:shd w:fill="D9D9D9" w:val="clear"/>
            <w:vAlign w:val="center"/>
          </w:tcPr>
          <w:p>
            <w:pPr>
              <w:pStyle w:val="Normal"/>
              <w:jc w:val="center"/>
              <w:rPr>
                <w:rFonts w:ascii="Calibri" w:hAnsi="Calibri" w:cs="Calibri"/>
                <w:sz w:val="20"/>
                <w:szCs w:val="20"/>
              </w:rPr>
            </w:pPr>
            <w:r>
              <w:rPr>
                <w:rFonts w:cs="Calibri" w:ascii="Calibri" w:hAnsi="Calibri"/>
                <w:sz w:val="20"/>
                <w:szCs w:val="20"/>
              </w:rPr>
              <w:t>Director</w:t>
            </w:r>
          </w:p>
        </w:tc>
        <w:tc>
          <w:tcPr>
            <w:tcW w:w="783" w:type="dxa"/>
            <w:tcBorders>
              <w:top w:val="single" w:sz="8" w:space="0" w:color="000000"/>
              <w:left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0</w:t>
            </w:r>
          </w:p>
        </w:tc>
        <w:tc>
          <w:tcPr>
            <w:tcW w:w="4633" w:type="dxa"/>
            <w:gridSpan w:val="5"/>
            <w:tcBorders>
              <w:top w:val="single" w:sz="8" w:space="0" w:color="000000"/>
              <w:left w:val="single" w:sz="8" w:space="0" w:color="000000"/>
            </w:tcBorders>
            <w:shd w:fill="D9D9D9" w:val="clear"/>
            <w:tcMar>
              <w:left w:w="-10" w:type="dxa"/>
              <w:right w:w="0" w:type="dxa"/>
            </w:tcMar>
            <w:vAlign w:val="center"/>
          </w:tcPr>
          <w:p>
            <w:pPr>
              <w:pStyle w:val="Normal"/>
              <w:jc w:val="center"/>
              <w:rPr>
                <w:rFonts w:ascii="Calibri" w:hAnsi="Calibri" w:cs="Calibri"/>
                <w:color w:val="000000"/>
                <w:sz w:val="20"/>
                <w:szCs w:val="20"/>
              </w:rPr>
            </w:pPr>
            <w:r>
              <w:rPr>
                <w:rFonts w:cs="Calibri" w:ascii="Calibri" w:hAnsi="Calibri"/>
                <w:color w:val="000000"/>
                <w:sz w:val="20"/>
                <w:szCs w:val="20"/>
              </w:rPr>
              <w:t>discrétionnaire</w:t>
            </w:r>
          </w:p>
        </w:tc>
      </w:tr>
    </w:tbl>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r>
    </w:p>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r>
    </w:p>
    <w:p>
      <w:pPr>
        <w:pStyle w:val="Normal"/>
        <w:ind w:left="-426" w:right="-238" w:hanging="0"/>
        <w:jc w:val="both"/>
        <w:rPr>
          <w:rFonts w:ascii="Calibri" w:hAnsi="Calibri" w:cs="Calibri"/>
          <w:b/>
          <w:b/>
          <w:bCs/>
          <w:sz w:val="20"/>
          <w:szCs w:val="20"/>
          <w:u w:val="single"/>
        </w:rPr>
      </w:pPr>
      <w:r>
        <w:rPr>
          <w:rFonts w:cs="Calibri" w:ascii="Calibri" w:hAnsi="Calibri"/>
          <w:b/>
          <w:bCs/>
          <w:sz w:val="20"/>
          <w:szCs w:val="20"/>
          <w:u w:val="single"/>
        </w:rPr>
        <w:t>REMUNERATION VARIABLE AU TITRE DE L’ANNEE 2022 PAYABLE EN 2023</w:t>
      </w:r>
    </w:p>
    <w:p>
      <w:pPr>
        <w:pStyle w:val="Paragraphedeliste"/>
        <w:tabs>
          <w:tab w:val="left" w:pos="284" w:leader="none"/>
        </w:tabs>
        <w:ind w:left="-426" w:right="-238" w:hanging="0"/>
        <w:jc w:val="both"/>
        <w:rPr>
          <w:rFonts w:ascii="Calibri" w:hAnsi="Calibri" w:cs="Calibri"/>
          <w:b/>
          <w:b/>
          <w:bCs/>
          <w:color w:val="000000"/>
          <w:sz w:val="20"/>
          <w:szCs w:val="20"/>
          <w:u w:val="single"/>
        </w:rPr>
      </w:pPr>
      <w:r>
        <w:rPr>
          <w:rFonts w:cs="Calibri"/>
          <w:b/>
          <w:bCs/>
          <w:color w:val="000000"/>
          <w:sz w:val="20"/>
          <w:szCs w:val="20"/>
          <w:u w:val="single"/>
        </w:rPr>
      </w:r>
    </w:p>
    <w:p>
      <w:pPr>
        <w:pStyle w:val="Paragraphedeliste"/>
        <w:tabs>
          <w:tab w:val="left" w:pos="-142" w:leader="none"/>
        </w:tabs>
        <w:ind w:left="-426" w:right="-238" w:hanging="0"/>
        <w:jc w:val="both"/>
        <w:rPr>
          <w:rFonts w:cs="Calibri"/>
          <w:i/>
          <w:i/>
          <w:color w:val="000000"/>
          <w:sz w:val="20"/>
          <w:szCs w:val="20"/>
        </w:rPr>
      </w:pPr>
      <w:r>
        <w:rPr>
          <w:rFonts w:cs="Calibri"/>
          <w:i/>
          <w:color w:val="000000"/>
          <w:sz w:val="20"/>
          <w:szCs w:val="20"/>
        </w:rPr>
        <w:t>Les principes ci-dessous édictés pour la population des consultants s’appliquent aux salariés de l’UES.</w:t>
      </w:r>
    </w:p>
    <w:p>
      <w:pPr>
        <w:pStyle w:val="Paragraphedeliste"/>
        <w:tabs>
          <w:tab w:val="left" w:pos="284" w:leader="none"/>
        </w:tabs>
        <w:ind w:left="-426" w:right="-238" w:hanging="0"/>
        <w:jc w:val="both"/>
        <w:rPr>
          <w:rFonts w:cs="Calibri"/>
          <w:i/>
          <w:i/>
          <w:color w:val="000000"/>
          <w:sz w:val="20"/>
          <w:szCs w:val="20"/>
        </w:rPr>
      </w:pPr>
      <w:r>
        <w:rPr>
          <w:rFonts w:cs="Calibri"/>
          <w:i/>
          <w:color w:val="000000"/>
          <w:sz w:val="20"/>
          <w:szCs w:val="20"/>
        </w:rPr>
      </w:r>
    </w:p>
    <w:p>
      <w:pPr>
        <w:pStyle w:val="Heading2"/>
        <w:keepLines/>
        <w:numPr>
          <w:ilvl w:val="2"/>
          <w:numId w:val="10"/>
        </w:numPr>
        <w:ind w:left="142" w:right="-238" w:hanging="568"/>
        <w:jc w:val="left"/>
        <w:rPr>
          <w:rFonts w:ascii="Calibri" w:hAnsi="Calibri" w:cs="Calibri"/>
          <w:color w:val="00B0F0"/>
          <w:sz w:val="20"/>
          <w:szCs w:val="20"/>
        </w:rPr>
      </w:pPr>
      <w:r>
        <w:rPr>
          <w:rFonts w:cs="Calibri" w:ascii="Calibri" w:hAnsi="Calibri"/>
          <w:color w:val="00B0F0"/>
          <w:sz w:val="20"/>
          <w:szCs w:val="20"/>
        </w:rPr>
        <w:t>Population Consultant</w:t>
      </w:r>
    </w:p>
    <w:p>
      <w:pPr>
        <w:pStyle w:val="Normal"/>
        <w:ind w:left="-426" w:right="-238" w:hanging="0"/>
        <w:rPr>
          <w:rFonts w:ascii="Calibri" w:hAnsi="Calibri" w:cs="Calibri"/>
          <w:color w:val="00B0F0"/>
          <w:sz w:val="20"/>
          <w:szCs w:val="20"/>
        </w:rPr>
      </w:pPr>
      <w:r>
        <w:rPr>
          <w:rFonts w:cs="Calibri" w:ascii="Calibri" w:hAnsi="Calibri"/>
          <w:color w:val="00B0F0"/>
          <w:sz w:val="20"/>
          <w:szCs w:val="20"/>
        </w:rPr>
      </w:r>
    </w:p>
    <w:p>
      <w:pPr>
        <w:pStyle w:val="Paragraphedeliste"/>
        <w:tabs>
          <w:tab w:val="left" w:pos="-142" w:leader="none"/>
        </w:tabs>
        <w:ind w:left="-426" w:right="-238" w:hanging="0"/>
        <w:jc w:val="both"/>
        <w:rPr>
          <w:rFonts w:cs="Calibri"/>
          <w:color w:val="000000"/>
          <w:sz w:val="20"/>
          <w:szCs w:val="20"/>
          <w:u w:val="single"/>
        </w:rPr>
      </w:pPr>
      <w:r>
        <w:rPr>
          <w:rFonts w:cs="Calibri"/>
          <w:color w:val="000000"/>
          <w:sz w:val="20"/>
          <w:szCs w:val="20"/>
          <w:u w:val="single"/>
        </w:rPr>
        <w:t xml:space="preserve"> </w:t>
      </w:r>
      <w:r>
        <w:rPr>
          <w:rFonts w:cs="Calibri"/>
          <w:color w:val="000000"/>
          <w:sz w:val="20"/>
          <w:szCs w:val="20"/>
          <w:u w:val="single"/>
        </w:rPr>
        <w:t>Principes du variable 2022 payable en 2023</w:t>
      </w:r>
    </w:p>
    <w:p>
      <w:pPr>
        <w:pStyle w:val="Paragraphedeliste"/>
        <w:tabs>
          <w:tab w:val="left" w:pos="-142" w:leader="none"/>
        </w:tabs>
        <w:ind w:left="-426" w:right="-238" w:hanging="0"/>
        <w:jc w:val="both"/>
        <w:rPr>
          <w:rFonts w:cs="Calibri"/>
          <w:color w:val="000000"/>
          <w:sz w:val="20"/>
          <w:szCs w:val="20"/>
          <w:u w:val="single"/>
        </w:rPr>
      </w:pPr>
      <w:r>
        <w:rPr>
          <w:rFonts w:cs="Calibri"/>
          <w:color w:val="000000"/>
          <w:sz w:val="20"/>
          <w:szCs w:val="20"/>
          <w:u w:val="single"/>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L’enveloppe de variable 2022 versée en 2023 sera appréciée aux bornes de l’UES composées des sociétés BearingPoint, Hypercube Research et Arcwide.</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Cependant, à ce jour, seuls les EBIT prévisionnels des sociétés BearingPoint et Hypercube Research sont déterminés et estimés à hauteur de 20M€, générant ainsi une enveloppe de variable de 4,3M€, charges patronales comprises, selon la courbe ci-après. Le montant d’EBIT réel 2022 d’Arcwide sera bien pris en compte dans la détermination de l’enveloppe de variable de l’UES, conformément à la courbe habituellement appliquée.</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L’enveloppe de variable qui sera générée par l’EBIT de l’UES effectivement réalisé en 2022 sera distribuée aux salariés de l’UES en 2023.</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Normal"/>
        <w:tabs>
          <w:tab w:val="left" w:pos="-142" w:leader="none"/>
        </w:tabs>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drawing>
          <wp:inline distT="0" distB="0" distL="0" distR="0">
            <wp:extent cx="5516245" cy="3223260"/>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1"/>
                    <a:srcRect l="-3" t="-4" r="-3" b="-4"/>
                    <a:stretch>
                      <a:fillRect/>
                    </a:stretch>
                  </pic:blipFill>
                  <pic:spPr bwMode="auto">
                    <a:xfrm>
                      <a:off x="0" y="0"/>
                      <a:ext cx="5516245" cy="3223260"/>
                    </a:xfrm>
                    <a:prstGeom prst="rect">
                      <a:avLst/>
                    </a:prstGeom>
                  </pic:spPr>
                </pic:pic>
              </a:graphicData>
            </a:graphic>
          </wp:inline>
        </w:drawing>
      </w:r>
      <w:r>
        <mc:AlternateContent>
          <mc:Choice Requires="wps">
            <w:drawing>
              <wp:anchor behindDoc="0" distT="0" distB="0" distL="114935" distR="114935" simplePos="0" locked="0" layoutInCell="1" allowOverlap="1" relativeHeight="67">
                <wp:simplePos x="0" y="0"/>
                <wp:positionH relativeFrom="column">
                  <wp:posOffset>5268595</wp:posOffset>
                </wp:positionH>
                <wp:positionV relativeFrom="paragraph">
                  <wp:posOffset>16510</wp:posOffset>
                </wp:positionV>
                <wp:extent cx="1127760" cy="588010"/>
                <wp:effectExtent l="0" t="0" r="0" b="0"/>
                <wp:wrapNone/>
                <wp:docPr id="22" name="Frame2"/>
                <a:graphic xmlns:a="http://schemas.openxmlformats.org/drawingml/2006/main">
                  <a:graphicData uri="http://schemas.microsoft.com/office/word/2010/wordprocessingShape">
                    <wps:wsp>
                      <wps:cNvSpPr txBox="1"/>
                      <wps:spPr>
                        <a:xfrm>
                          <a:off x="0" y="0"/>
                          <a:ext cx="1127760" cy="588010"/>
                        </a:xfrm>
                        <a:prstGeom prst="rect"/>
                        <a:solidFill>
                          <a:srgbClr val="FFFFFF">
                            <a:alpha val="0"/>
                          </a:srgbClr>
                        </a:solidFill>
                      </wps:spPr>
                      <wps:txbx>
                        <w:txbxContent>
                          <w:p>
                            <w:pPr>
                              <w:pStyle w:val="Normal"/>
                              <w:rPr>
                                <w:rFonts w:ascii="Calibri" w:hAnsi="Calibri" w:cs="Calibri"/>
                                <w:color w:val="000000"/>
                                <w:sz w:val="16"/>
                                <w:szCs w:val="16"/>
                              </w:rPr>
                            </w:pPr>
                            <w:r>
                              <w:rPr>
                                <w:rFonts w:cs="Calibri" w:ascii="Calibri" w:hAnsi="Calibri"/>
                                <w:color w:val="000000"/>
                                <w:sz w:val="16"/>
                                <w:szCs w:val="16"/>
                              </w:rPr>
                              <w:t>*EBIT prévisionnel de BearingPoint et Hypercube Research – hors Arcwide</w:t>
                            </w:r>
                          </w:p>
                        </w:txbxContent>
                      </wps:txbx>
                      <wps:bodyPr anchor="t" lIns="92075" tIns="46355" rIns="92075" bIns="46355">
                        <a:spAutoFit/>
                      </wps:bodyPr>
                    </wps:wsp>
                  </a:graphicData>
                </a:graphic>
              </wp:anchor>
            </w:drawing>
          </mc:Choice>
          <mc:Fallback>
            <w:pict>
              <v:rect fillcolor="#FFFFFF" style="position:absolute;rotation:0;width:88.8pt;height:46.3pt;mso-wrap-distance-left:9.05pt;mso-wrap-distance-right:9.05pt;margin-top:1.3pt;mso-position-vertical-relative:text;margin-left:414.85pt;mso-position-horizontal-relative:text">
                <v:fill opacity="0f"/>
                <v:textbox inset="0.100694444444444in,0.0506944444444444in,0.100694444444444in,0.0506944444444444in">
                  <w:txbxContent>
                    <w:p>
                      <w:pPr>
                        <w:pStyle w:val="Normal"/>
                        <w:rPr>
                          <w:rFonts w:ascii="Calibri" w:hAnsi="Calibri" w:cs="Calibri"/>
                          <w:color w:val="000000"/>
                          <w:sz w:val="16"/>
                          <w:szCs w:val="16"/>
                        </w:rPr>
                      </w:pPr>
                      <w:r>
                        <w:rPr>
                          <w:rFonts w:cs="Calibri" w:ascii="Calibri" w:hAnsi="Calibri"/>
                          <w:color w:val="000000"/>
                          <w:sz w:val="16"/>
                          <w:szCs w:val="16"/>
                        </w:rPr>
                        <w:t>*EBIT prévisionnel de BearingPoint et Hypercube Research – hors Arcwide</w:t>
                      </w:r>
                    </w:p>
                  </w:txbxContent>
                </v:textbox>
              </v:rect>
            </w:pict>
          </mc:Fallback>
        </mc:AlternateContent>
      </w:r>
    </w:p>
    <w:p>
      <w:pPr>
        <w:pStyle w:val="Paragraphedeliste"/>
        <w:tabs>
          <w:tab w:val="left" w:pos="-142" w:leader="none"/>
        </w:tabs>
        <w:ind w:left="-426" w:right="-238" w:hanging="0"/>
        <w:jc w:val="both"/>
        <w:rPr>
          <w:rFonts w:ascii="Calibri" w:hAnsi="Calibri" w:eastAsia="Calibri" w:cs="Calibri"/>
          <w:color w:val="000000"/>
          <w:sz w:val="20"/>
          <w:szCs w:val="20"/>
          <w:u w:val="single"/>
        </w:rPr>
      </w:pPr>
      <w:r>
        <w:rPr>
          <w:rFonts w:eastAsia="Calibri" w:cs="Calibri"/>
          <w:color w:val="000000"/>
          <w:sz w:val="20"/>
          <w:szCs w:val="20"/>
          <w:u w:val="single"/>
        </w:rPr>
      </w:r>
    </w:p>
    <w:p>
      <w:pPr>
        <w:pStyle w:val="Paragraphedeliste"/>
        <w:tabs>
          <w:tab w:val="left" w:pos="-142" w:leader="none"/>
        </w:tabs>
        <w:ind w:left="-426" w:right="-238" w:hanging="0"/>
        <w:jc w:val="both"/>
        <w:rPr>
          <w:rFonts w:cs="Calibri"/>
          <w:color w:val="000000"/>
          <w:sz w:val="20"/>
          <w:szCs w:val="20"/>
          <w:u w:val="single"/>
        </w:rPr>
      </w:pPr>
      <w:r>
        <w:rPr>
          <w:rFonts w:cs="Calibri"/>
          <w:color w:val="000000"/>
          <w:sz w:val="20"/>
          <w:szCs w:val="20"/>
          <w:u w:val="single"/>
        </w:rPr>
        <w:t>Critères de variable 2022</w:t>
      </w:r>
    </w:p>
    <w:p>
      <w:pPr>
        <w:pStyle w:val="Paragraphedeliste"/>
        <w:tabs>
          <w:tab w:val="left" w:pos="284" w:leader="none"/>
        </w:tabs>
        <w:ind w:left="-426" w:right="-238" w:hanging="0"/>
        <w:jc w:val="both"/>
        <w:rPr>
          <w:rFonts w:cs="Calibri"/>
          <w:b/>
          <w:b/>
          <w:iCs/>
          <w:color w:val="7030A0"/>
          <w:sz w:val="20"/>
          <w:szCs w:val="20"/>
          <w:u w:val="single"/>
        </w:rPr>
      </w:pPr>
      <w:r>
        <w:rPr>
          <w:rFonts w:cs="Calibri"/>
          <w:b/>
          <w:iCs/>
          <w:color w:val="7030A0"/>
          <w:sz w:val="20"/>
          <w:szCs w:val="20"/>
          <w:u w:val="single"/>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Les critères de variable 2022 sont identiques à ceux de 2021 pour tous les grades.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sz w:val="20"/>
          <w:szCs w:val="20"/>
        </w:rPr>
      </w:pPr>
      <w:r>
        <w:rPr>
          <w:sz w:val="20"/>
          <w:szCs w:val="20"/>
        </w:rPr>
        <w:t>Pour les grades Manager à Director et pour les Experts, la note de performance globale résulte de la combinaison des 2 notes (HOW individuels et WHAT collectifs) sous réserve de l’atteinte de Minimum Contributions :</w:t>
      </w:r>
    </w:p>
    <w:p>
      <w:pPr>
        <w:pStyle w:val="Paragraphedeliste"/>
        <w:tabs>
          <w:tab w:val="left" w:pos="284" w:leader="none"/>
        </w:tabs>
        <w:ind w:left="-426" w:right="-238" w:hanging="0"/>
        <w:jc w:val="both"/>
        <w:rPr>
          <w:sz w:val="20"/>
          <w:szCs w:val="20"/>
        </w:rPr>
      </w:pPr>
      <w:r>
        <w:rPr>
          <w:sz w:val="20"/>
          <w:szCs w:val="20"/>
        </w:rPr>
      </w:r>
    </w:p>
    <w:p>
      <w:pPr>
        <w:pStyle w:val="Paragraphedeliste"/>
        <w:tabs>
          <w:tab w:val="left" w:pos="284" w:leader="none"/>
        </w:tabs>
        <w:ind w:left="-993" w:right="-805" w:hanging="0"/>
        <w:jc w:val="both"/>
        <w:rPr>
          <w:lang w:val="en-GB" w:eastAsia="en-GB"/>
        </w:rPr>
      </w:pPr>
      <w:r>
        <w:rPr>
          <w:lang w:val="en-GB" w:eastAsia="en-GB"/>
        </w:rPr>
        <w:drawing>
          <wp:inline distT="0" distB="0" distL="0" distR="0">
            <wp:extent cx="6566535" cy="3699510"/>
            <wp:effectExtent l="0" t="0" r="0" b="0"/>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2"/>
                    <a:srcRect l="-6" t="-11" r="-6" b="-34"/>
                    <a:stretch>
                      <a:fillRect/>
                    </a:stretch>
                  </pic:blipFill>
                  <pic:spPr bwMode="auto">
                    <a:xfrm>
                      <a:off x="0" y="0"/>
                      <a:ext cx="6566535" cy="3699510"/>
                    </a:xfrm>
                    <a:prstGeom prst="rect">
                      <a:avLst/>
                    </a:prstGeom>
                  </pic:spPr>
                </pic:pic>
              </a:graphicData>
            </a:graphic>
          </wp:inline>
        </w:drawing>
      </w:r>
      <w:r>
        <w:rPr>
          <w:lang w:val="en-GB" w:eastAsia="en-GB"/>
        </w:rPr>
        <w:t xml:space="preserve"> </w:t>
      </w:r>
    </w:p>
    <w:p>
      <w:pPr>
        <w:pStyle w:val="Paragraphedeliste"/>
        <w:tabs>
          <w:tab w:val="left" w:pos="284" w:leader="none"/>
        </w:tabs>
        <w:ind w:left="-993" w:right="-805" w:hanging="0"/>
        <w:jc w:val="both"/>
        <w:rPr>
          <w:lang w:val="en-GB" w:eastAsia="en-GB"/>
        </w:rPr>
      </w:pPr>
      <w:r>
        <w:rPr>
          <w:lang w:val="en-GB" w:eastAsia="en-GB"/>
        </w:rPr>
      </w:r>
    </w:p>
    <w:p>
      <w:pPr>
        <w:pStyle w:val="Paragraphedeliste"/>
        <w:tabs>
          <w:tab w:val="left" w:pos="284" w:leader="none"/>
        </w:tabs>
        <w:ind w:left="-993" w:right="-805" w:hanging="0"/>
        <w:jc w:val="both"/>
        <w:rPr>
          <w:sz w:val="20"/>
          <w:szCs w:val="20"/>
        </w:rPr>
      </w:pPr>
      <w:r>
        <w:rPr>
          <w:lang w:val="en-GB" w:eastAsia="en-GB"/>
        </w:rPr>
        <w:drawing>
          <wp:inline distT="0" distB="0" distL="0" distR="0">
            <wp:extent cx="6518910" cy="3589655"/>
            <wp:effectExtent l="0" t="0" r="0" b="0"/>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3"/>
                    <a:srcRect l="-3" t="-5" r="-3" b="-5"/>
                    <a:stretch>
                      <a:fillRect/>
                    </a:stretch>
                  </pic:blipFill>
                  <pic:spPr bwMode="auto">
                    <a:xfrm>
                      <a:off x="0" y="0"/>
                      <a:ext cx="6518910" cy="3589655"/>
                    </a:xfrm>
                    <a:prstGeom prst="rect">
                      <a:avLst/>
                    </a:prstGeom>
                  </pic:spPr>
                </pic:pic>
              </a:graphicData>
            </a:graphic>
          </wp:inline>
        </w:drawing>
      </w:r>
    </w:p>
    <w:p>
      <w:pPr>
        <w:pStyle w:val="Paragraphedeliste"/>
        <w:tabs>
          <w:tab w:val="left" w:pos="284" w:leader="none"/>
        </w:tabs>
        <w:ind w:left="-426" w:right="-238" w:hanging="0"/>
        <w:jc w:val="both"/>
        <w:rPr>
          <w:sz w:val="20"/>
          <w:szCs w:val="20"/>
          <w:lang w:val="en-GB" w:eastAsia="en-GB"/>
        </w:rPr>
      </w:pPr>
      <w:r>
        <w:rPr>
          <w:sz w:val="20"/>
          <w:szCs w:val="20"/>
          <w:lang w:val="en-GB" w:eastAsia="en-GB"/>
        </w:rPr>
      </w:r>
    </w:p>
    <w:p>
      <w:pPr>
        <w:pStyle w:val="Heading2"/>
        <w:keepLines/>
        <w:numPr>
          <w:ilvl w:val="2"/>
          <w:numId w:val="10"/>
        </w:numPr>
        <w:ind w:left="142" w:right="-238" w:hanging="568"/>
        <w:jc w:val="left"/>
        <w:rPr>
          <w:rFonts w:ascii="Calibri" w:hAnsi="Calibri" w:cs="Calibri"/>
          <w:color w:val="00B0F0"/>
          <w:sz w:val="20"/>
          <w:szCs w:val="20"/>
        </w:rPr>
      </w:pPr>
      <w:r>
        <w:rPr>
          <w:rFonts w:cs="Calibri" w:ascii="Calibri" w:hAnsi="Calibri"/>
          <w:color w:val="00B0F0"/>
          <w:sz w:val="20"/>
          <w:szCs w:val="20"/>
        </w:rPr>
        <w:t>Population Support</w:t>
      </w:r>
    </w:p>
    <w:p>
      <w:pPr>
        <w:pStyle w:val="Normal"/>
        <w:ind w:left="-426" w:right="-238" w:hanging="0"/>
        <w:rPr>
          <w:rFonts w:ascii="Calibri" w:hAnsi="Calibri" w:cs="Calibri"/>
          <w:color w:val="00B0F0"/>
          <w:sz w:val="20"/>
          <w:szCs w:val="20"/>
        </w:rPr>
      </w:pPr>
      <w:r>
        <w:rPr>
          <w:rFonts w:cs="Calibri" w:ascii="Calibri" w:hAnsi="Calibri"/>
          <w:color w:val="00B0F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 montant de l’enveloppe de variable de la population Support reste fonction de la part des effectifs supports (niveaux 1 à 4 - infra + assistantes) au 31 décembre de l’année sur les effectifs consultants (hors Partners).</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 xml:space="preserve">Le critère principal permettant de déterminer l’attribution du bonus est la performance, appréciée par la note de performance. </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Normal"/>
        <w:ind w:left="-426" w:right="-238" w:hanging="0"/>
        <w:jc w:val="both"/>
        <w:rPr>
          <w:rFonts w:ascii="Calibri" w:hAnsi="Calibri" w:cs="Calibri"/>
          <w:b/>
          <w:b/>
          <w:bCs/>
          <w:color w:val="000000"/>
          <w:sz w:val="20"/>
          <w:szCs w:val="20"/>
          <w:u w:val="single"/>
        </w:rPr>
      </w:pPr>
      <w:r>
        <w:rPr>
          <w:rFonts w:cs="Calibri" w:ascii="Calibri" w:hAnsi="Calibri"/>
          <w:b/>
          <w:bCs/>
          <w:color w:val="000000"/>
          <w:sz w:val="20"/>
          <w:szCs w:val="20"/>
          <w:u w:val="single"/>
        </w:rPr>
      </w:r>
    </w:p>
    <w:p>
      <w:pPr>
        <w:pStyle w:val="Normal"/>
        <w:ind w:left="-426" w:right="-238" w:hanging="0"/>
        <w:jc w:val="both"/>
        <w:rPr>
          <w:rFonts w:ascii="Calibri" w:hAnsi="Calibri" w:cs="Calibri"/>
          <w:b/>
          <w:b/>
          <w:bCs/>
          <w:sz w:val="20"/>
          <w:szCs w:val="20"/>
          <w:u w:val="single"/>
          <w:lang w:val="en-US"/>
        </w:rPr>
      </w:pPr>
      <w:r>
        <w:rPr>
          <w:rFonts w:cs="Calibri" w:ascii="Calibri" w:hAnsi="Calibri"/>
          <w:b/>
          <w:bCs/>
          <w:sz w:val="20"/>
          <w:szCs w:val="20"/>
          <w:u w:val="single"/>
          <w:lang w:val="en-US"/>
        </w:rPr>
        <w:t>LONG TERM INCENTIVE PLAN (LTIP) – programme 2022-2025</w:t>
      </w:r>
    </w:p>
    <w:p>
      <w:pPr>
        <w:pStyle w:val="Paragraphedeliste"/>
        <w:tabs>
          <w:tab w:val="left" w:pos="284" w:leader="none"/>
        </w:tabs>
        <w:ind w:left="-426" w:right="-238" w:hanging="0"/>
        <w:jc w:val="both"/>
        <w:rPr>
          <w:rFonts w:ascii="Calibri" w:hAnsi="Calibri" w:cs="Calibri"/>
          <w:b/>
          <w:b/>
          <w:bCs/>
          <w:color w:val="000000"/>
          <w:sz w:val="20"/>
          <w:szCs w:val="20"/>
          <w:u w:val="single"/>
          <w:lang w:val="en-US"/>
        </w:rPr>
      </w:pPr>
      <w:r>
        <w:rPr>
          <w:rFonts w:cs="Calibri"/>
          <w:b/>
          <w:bCs/>
          <w:color w:val="000000"/>
          <w:sz w:val="20"/>
          <w:szCs w:val="20"/>
          <w:u w:val="single"/>
          <w:lang w:val="en-US"/>
        </w:rPr>
      </w:r>
    </w:p>
    <w:p>
      <w:pPr>
        <w:pStyle w:val="Paragraphedeliste"/>
        <w:tabs>
          <w:tab w:val="left" w:pos="284" w:leader="none"/>
        </w:tabs>
        <w:ind w:left="-426" w:right="-238" w:hanging="0"/>
        <w:jc w:val="both"/>
        <w:rPr/>
      </w:pPr>
      <w:r>
        <w:rPr>
          <w:rFonts w:cs="Calibri"/>
          <w:color w:val="000000"/>
          <w:sz w:val="20"/>
          <w:szCs w:val="20"/>
        </w:rPr>
        <w:t>Le « Long Term Incentive Plan » (plan d’incitation à long terme) est un outil de rémunération supplémentaire destiné à avoir un effet positif sur la fidélisation d’une partie du personnel de BearingPoint.</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Sa mise en place, reportée d’une année du fait de la crise sanitaire, a démarré en 2021 et a été reconduit pour l’année 2022.</w:t>
      </w:r>
    </w:p>
    <w:p>
      <w:pPr>
        <w:pStyle w:val="Paragraphedeliste"/>
        <w:tabs>
          <w:tab w:val="left" w:pos="284" w:leader="none"/>
        </w:tabs>
        <w:ind w:left="-426" w:right="-238" w:hanging="0"/>
        <w:jc w:val="both"/>
        <w:rPr>
          <w:rFonts w:cs="Calibri"/>
          <w:color w:val="000000"/>
          <w:sz w:val="20"/>
          <w:szCs w:val="20"/>
        </w:rPr>
      </w:pPr>
      <w:r>
        <w:rPr>
          <w:lang w:val="en-GB" w:eastAsia="en-GB"/>
        </w:rPr>
        <w:drawing>
          <wp:inline distT="0" distB="0" distL="0" distR="0">
            <wp:extent cx="5514975" cy="3091180"/>
            <wp:effectExtent l="0" t="0" r="0" b="0"/>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4"/>
                    <a:srcRect l="-2" t="-5" r="-2" b="-5"/>
                    <a:stretch>
                      <a:fillRect/>
                    </a:stretch>
                  </pic:blipFill>
                  <pic:spPr bwMode="auto">
                    <a:xfrm>
                      <a:off x="0" y="0"/>
                      <a:ext cx="5514975" cy="3091180"/>
                    </a:xfrm>
                    <a:prstGeom prst="rect">
                      <a:avLst/>
                    </a:prstGeom>
                  </pic:spPr>
                </pic:pic>
              </a:graphicData>
            </a:graphic>
          </wp:inline>
        </w:drawing>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 LTIP, d’une durée de 3 ans et dont les modalités sont décidées à l’échelle du groupe, concerne la population « Consultants » pour les grades Analyst à Manager (équipes conseil, BBS et Capital M&amp;A) ayant a minima obtenu la notation GP en mars 2022 au titre de leur évaluation annuelle 2021.</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lang w:val="en-GB" w:eastAsia="en-GB"/>
        </w:rPr>
        <w:drawing>
          <wp:inline distT="0" distB="0" distL="0" distR="0">
            <wp:extent cx="5514975" cy="3098165"/>
            <wp:effectExtent l="0" t="0" r="0" b="0"/>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5"/>
                    <a:srcRect l="-2" t="-5" r="-2" b="-5"/>
                    <a:stretch>
                      <a:fillRect/>
                    </a:stretch>
                  </pic:blipFill>
                  <pic:spPr bwMode="auto">
                    <a:xfrm>
                      <a:off x="0" y="0"/>
                      <a:ext cx="5514975" cy="3098165"/>
                    </a:xfrm>
                    <a:prstGeom prst="rect">
                      <a:avLst/>
                    </a:prstGeom>
                  </pic:spPr>
                </pic:pic>
              </a:graphicData>
            </a:graphic>
          </wp:inline>
        </w:drawing>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t>Les objectifs du LTIP sont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d’avoir un effet positif sur la rétention du personnel</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d’offrir aux salariés éligibles un avantage supplémentaire pour leur fidélité à l'entreprise</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d’encourager les salariés à construire une carrière durable chez BearingPoint, Hypercube et Arcwide</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Le financement du LTIP se fera au niveau du groupe et l’enveloppe sera répartie de manière égale entre tous les salariés éligibles conformément au coefficient déterminé pour chaque pays.</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lang w:val="en-US" w:eastAsia="en-GB"/>
        </w:rPr>
      </w:pPr>
      <w:r>
        <w:rPr>
          <w:lang w:val="en-GB" w:eastAsia="en-GB"/>
        </w:rPr>
        <w:drawing>
          <wp:inline distT="0" distB="0" distL="0" distR="0">
            <wp:extent cx="5514975" cy="3099435"/>
            <wp:effectExtent l="0" t="0" r="0" b="0"/>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6"/>
                    <a:srcRect l="-2" t="-5" r="-2" b="-5"/>
                    <a:stretch>
                      <a:fillRect/>
                    </a:stretch>
                  </pic:blipFill>
                  <pic:spPr bwMode="auto">
                    <a:xfrm>
                      <a:off x="0" y="0"/>
                      <a:ext cx="5514975" cy="3099435"/>
                    </a:xfrm>
                    <a:prstGeom prst="rect">
                      <a:avLst/>
                    </a:prstGeom>
                  </pic:spPr>
                </pic:pic>
              </a:graphicData>
            </a:graphic>
          </wp:inline>
        </w:drawing>
      </w:r>
    </w:p>
    <w:p>
      <w:pPr>
        <w:pStyle w:val="Normal"/>
        <w:ind w:left="-426" w:right="-238" w:hanging="0"/>
        <w:jc w:val="both"/>
        <w:rPr>
          <w:rFonts w:ascii="Calibri" w:hAnsi="Calibri" w:cs="Calibri"/>
          <w:color w:val="000000"/>
          <w:sz w:val="20"/>
          <w:szCs w:val="20"/>
          <w:lang w:val="en-US" w:eastAsia="en-GB"/>
        </w:rPr>
      </w:pPr>
      <w:r>
        <w:rPr>
          <w:rFonts w:cs="Calibri" w:ascii="Calibri" w:hAnsi="Calibri"/>
          <w:color w:val="000000"/>
          <w:sz w:val="20"/>
          <w:szCs w:val="20"/>
          <w:lang w:val="en-US" w:eastAsia="en-GB"/>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2 - DEPLACEMENTS</w:t>
      </w:r>
    </w:p>
    <w:p>
      <w:pPr>
        <w:pStyle w:val="Paragraphedeliste"/>
        <w:tabs>
          <w:tab w:val="left" w:pos="-142" w:leader="none"/>
        </w:tabs>
        <w:ind w:left="-426" w:right="-238" w:hanging="0"/>
        <w:jc w:val="both"/>
        <w:rPr>
          <w:rFonts w:ascii="Calibri" w:hAnsi="Calibri" w:cs="Calibri"/>
          <w:b/>
          <w:b/>
          <w:color w:val="000000"/>
          <w:sz w:val="20"/>
          <w:szCs w:val="20"/>
          <w:u w:val="single"/>
        </w:rPr>
      </w:pPr>
      <w:r>
        <w:rPr>
          <w:rFonts w:cs="Calibri"/>
          <w:b/>
          <w:color w:val="000000"/>
          <w:sz w:val="20"/>
          <w:szCs w:val="20"/>
          <w:u w:val="single"/>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Les déplacements de ces 2 dernières années se sont considérablement réduits du fait du contexte épidémique et la crise sanitaire a transformé structurellement les modes de travail, favorisant plus de travail en mode distanciel.</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Ainsi, les modalités de récupération du temps de déplacement et montant de primes de déplacement restent inchangés pour 2022.</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3 – AUTRES PRIMES</w:t>
      </w:r>
    </w:p>
    <w:p>
      <w:pPr>
        <w:pStyle w:val="Normal"/>
        <w:ind w:left="-426" w:right="-238" w:hanging="0"/>
        <w:jc w:val="both"/>
        <w:rPr>
          <w:rFonts w:ascii="Calibri" w:hAnsi="Calibri" w:cs="Calibri"/>
          <w:b/>
          <w:b/>
          <w:color w:val="000000"/>
          <w:sz w:val="20"/>
          <w:szCs w:val="20"/>
        </w:rPr>
      </w:pPr>
      <w:r>
        <w:rPr>
          <w:rFonts w:cs="Calibri" w:ascii="Calibri" w:hAnsi="Calibri"/>
          <w:b/>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Les modalités et conditions d’éligibilité 2022 restent inchangées pour :</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la prime de vacances</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la prime de certification et compétence SAP</w:t>
      </w:r>
    </w:p>
    <w:p>
      <w:pPr>
        <w:pStyle w:val="Normal"/>
        <w:numPr>
          <w:ilvl w:val="0"/>
          <w:numId w:val="5"/>
        </w:numPr>
        <w:ind w:left="66" w:right="-238" w:hanging="360"/>
        <w:jc w:val="both"/>
        <w:rPr>
          <w:rFonts w:ascii="Calibri" w:hAnsi="Calibri" w:cs="Calibri"/>
          <w:color w:val="000000"/>
          <w:sz w:val="20"/>
          <w:szCs w:val="20"/>
        </w:rPr>
      </w:pPr>
      <w:r>
        <w:rPr>
          <w:rFonts w:cs="Calibri" w:ascii="Calibri" w:hAnsi="Calibri"/>
          <w:color w:val="000000"/>
          <w:sz w:val="20"/>
          <w:szCs w:val="20"/>
        </w:rPr>
        <w:t xml:space="preserve">la prime de certification et compétence Salesforce </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A noter toutefois que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la prime de certification SAP sera versée au mois de décembre 2022</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la prime de certification Salesforce est versée en 2 fois, en juillet 2022 et janvier 2023</w:t>
      </w:r>
    </w:p>
    <w:p>
      <w:pPr>
        <w:pStyle w:val="Normal"/>
        <w:numPr>
          <w:ilvl w:val="0"/>
          <w:numId w:val="5"/>
        </w:numPr>
        <w:ind w:left="66" w:right="-7" w:hanging="360"/>
        <w:jc w:val="both"/>
        <w:rPr>
          <w:rFonts w:ascii="Calibri" w:hAnsi="Calibri" w:eastAsia="Calibri" w:cs="Calibri"/>
          <w:sz w:val="20"/>
          <w:szCs w:val="20"/>
        </w:rPr>
      </w:pPr>
      <w:r>
        <w:rPr>
          <w:rFonts w:eastAsia="Calibri" w:cs="Calibri" w:ascii="Calibri" w:hAnsi="Calibri"/>
          <w:sz w:val="20"/>
          <w:szCs w:val="20"/>
        </w:rPr>
        <w:t>les consultants du path Expert ne sont pas éligibles aux primes de compétence SAP et Salesforce</w:t>
      </w:r>
    </w:p>
    <w:p>
      <w:pPr>
        <w:pStyle w:val="Normal"/>
        <w:ind w:left="-6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4 – AUTRES ELEMENTS</w:t>
      </w:r>
    </w:p>
    <w:p>
      <w:pPr>
        <w:pStyle w:val="Normal"/>
        <w:ind w:left="-426" w:right="-238" w:hanging="0"/>
        <w:jc w:val="both"/>
        <w:rPr>
          <w:rFonts w:ascii="Calibri" w:hAnsi="Calibri" w:cs="Calibri"/>
          <w:b/>
          <w:b/>
          <w:color w:val="000000"/>
          <w:sz w:val="20"/>
          <w:szCs w:val="20"/>
          <w:u w:val="single"/>
        </w:rPr>
      </w:pPr>
      <w:r>
        <w:rPr>
          <w:rFonts w:cs="Calibri" w:ascii="Calibri" w:hAnsi="Calibri"/>
          <w:b/>
          <w:color w:val="000000"/>
          <w:sz w:val="20"/>
          <w:szCs w:val="20"/>
          <w:u w:val="single"/>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Les modalités et conditions d’éligibilité 2022 restent inchangées pour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 dispositif YourPlace, permettant un accès facilité à la location d’un appartement privatif</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 remboursement des frais (y compris les frais de taxi et de restauration en cas de travail nocturne)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 dispositif Car Scheme évolue en 2022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choix d’un nouveau prestataire de courtage automobile : Yooliz</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conformément à notre politique RSE, seuls les véhicules électriques ou hybrides n’émettant pas +80g de CO2/km sont proposés au leasing et bénéficieront d’un abondement de l’entreprise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les conditions d’éligibilité évoluent pour ouvrir le programme à l’ensemble des salariés (toutes populations/tous grades)</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valeur faciale du Ticket Restaurant est portée à 10 euros à compter du 1</w:t>
      </w:r>
      <w:r>
        <w:rPr>
          <w:rFonts w:eastAsia="Calibri" w:cs="Calibri" w:ascii="Calibri" w:hAnsi="Calibri"/>
          <w:color w:val="000000"/>
          <w:sz w:val="20"/>
          <w:szCs w:val="20"/>
          <w:vertAlign w:val="superscript"/>
        </w:rPr>
        <w:t>er</w:t>
      </w:r>
      <w:r>
        <w:rPr>
          <w:rFonts w:eastAsia="Calibri" w:cs="Calibri" w:ascii="Calibri" w:hAnsi="Calibri"/>
          <w:color w:val="000000"/>
          <w:sz w:val="20"/>
          <w:szCs w:val="20"/>
        </w:rPr>
        <w:t xml:space="preserve"> mars 2022, avec une participation patronale à hauteur de de 56,9%, soit 5,69 euros financés par l’employeur et 4,31 euros financés par le salarié. Dans la mesure où les éléments variables de paie sont décomptés en mois+1 (décalage de paie), cette mesure apparaîtra sur les fiches de paie du mois d’avril 2022.</w:t>
      </w:r>
    </w:p>
    <w:p>
      <w:pPr>
        <w:pStyle w:val="Paragraphedeliste"/>
        <w:tabs>
          <w:tab w:val="left" w:pos="-142" w:leader="none"/>
        </w:tabs>
        <w:ind w:left="-426" w:right="-238" w:hanging="0"/>
        <w:jc w:val="both"/>
        <w:rPr>
          <w:rFonts w:ascii="Calibri" w:hAnsi="Calibri" w:eastAsia="Calibri" w:cs="Calibri"/>
          <w:color w:val="000000"/>
          <w:sz w:val="20"/>
          <w:szCs w:val="20"/>
        </w:rPr>
      </w:pPr>
      <w:r>
        <w:rPr>
          <w:rFonts w:eastAsia="Calibri" w:cs="Calibri"/>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5 – REMUNERATION COLLECTIVE</w:t>
      </w:r>
    </w:p>
    <w:p>
      <w:pPr>
        <w:pStyle w:val="Normal"/>
        <w:ind w:left="-426" w:right="-238" w:hanging="0"/>
        <w:jc w:val="both"/>
        <w:rPr>
          <w:rFonts w:ascii="Calibri" w:hAnsi="Calibri" w:cs="Calibri"/>
          <w:b/>
          <w:b/>
          <w:color w:val="000000"/>
          <w:sz w:val="20"/>
          <w:szCs w:val="20"/>
        </w:rPr>
      </w:pPr>
      <w:r>
        <w:rPr>
          <w:rFonts w:cs="Calibri" w:ascii="Calibri" w:hAnsi="Calibri"/>
          <w:b/>
          <w:color w:val="000000"/>
          <w:sz w:val="20"/>
          <w:szCs w:val="20"/>
        </w:rPr>
      </w:r>
    </w:p>
    <w:p>
      <w:pPr>
        <w:pStyle w:val="Heading2"/>
        <w:keepLines/>
        <w:numPr>
          <w:ilvl w:val="2"/>
          <w:numId w:val="4"/>
        </w:numPr>
        <w:ind w:left="142" w:right="-238" w:hanging="568"/>
        <w:jc w:val="left"/>
        <w:rPr>
          <w:rFonts w:ascii="Calibri" w:hAnsi="Calibri" w:cs="Calibri"/>
          <w:color w:val="00B0F0"/>
          <w:sz w:val="20"/>
          <w:szCs w:val="20"/>
        </w:rPr>
      </w:pPr>
      <w:r>
        <w:rPr>
          <w:rFonts w:cs="Calibri" w:ascii="Calibri" w:hAnsi="Calibri"/>
          <w:color w:val="00B0F0"/>
          <w:sz w:val="20"/>
          <w:szCs w:val="20"/>
        </w:rPr>
        <w:t>Participation légale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pPr>
      <w:r>
        <w:rPr>
          <w:rFonts w:eastAsia="Calibri" w:cs="Calibri" w:ascii="Calibri" w:hAnsi="Calibri"/>
          <w:color w:val="000000"/>
          <w:sz w:val="20"/>
          <w:szCs w:val="20"/>
        </w:rPr>
        <w:t xml:space="preserve">Le montant de la réserve de participation versée en </w:t>
      </w:r>
      <w:r>
        <w:rPr>
          <w:rFonts w:cs="Calibri" w:ascii="Calibri" w:hAnsi="Calibri"/>
          <w:color w:val="000000"/>
          <w:sz w:val="20"/>
          <w:szCs w:val="20"/>
        </w:rPr>
        <w:t>2022 au titre de l’année 2021</w:t>
      </w:r>
      <w:r>
        <w:rPr>
          <w:rFonts w:eastAsia="Calibri" w:cs="Calibri" w:ascii="Calibri" w:hAnsi="Calibri"/>
          <w:color w:val="000000"/>
          <w:sz w:val="20"/>
          <w:szCs w:val="20"/>
        </w:rPr>
        <w:t xml:space="preserve"> sera d’environ 1,1M€ (hors forfait social).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Une négociation sur l’accord de participation sera prochainement initiée avec le CSE pour définir les modalités de répartition individuelle de la participation 2021 versée en </w:t>
      </w:r>
      <w:r>
        <w:rPr>
          <w:rFonts w:cs="Calibri" w:ascii="Calibri" w:hAnsi="Calibri"/>
          <w:color w:val="000000"/>
          <w:sz w:val="20"/>
          <w:szCs w:val="20"/>
        </w:rPr>
        <w:t>2022</w:t>
      </w:r>
      <w:r>
        <w:rPr>
          <w:rFonts w:eastAsia="Calibri" w:cs="Calibri" w:ascii="Calibri" w:hAnsi="Calibri"/>
          <w:color w:val="000000"/>
          <w:sz w:val="20"/>
          <w:szCs w:val="20"/>
        </w:rPr>
        <w: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4"/>
        </w:numPr>
        <w:ind w:left="142" w:right="-238" w:hanging="568"/>
        <w:jc w:val="left"/>
        <w:rPr>
          <w:rFonts w:ascii="Calibri" w:hAnsi="Calibri" w:cs="Calibri"/>
          <w:color w:val="00B0F0"/>
          <w:sz w:val="20"/>
          <w:szCs w:val="20"/>
        </w:rPr>
      </w:pPr>
      <w:r>
        <w:rPr>
          <w:rFonts w:cs="Calibri" w:ascii="Calibri" w:hAnsi="Calibri"/>
          <w:color w:val="00B0F0"/>
          <w:sz w:val="20"/>
          <w:szCs w:val="20"/>
        </w:rPr>
        <w:t>Intéressement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Une négociation avec le CSE est en cours pour mettre en place un accord d’intéressement au titre de l’année 2022, applicable pour toutes les sociétés de l’UES, sur la base d’objectifs à atteindre sur des critères en lien avec notre politique RSE (People, Planet &amp; Society).</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4"/>
        </w:numPr>
        <w:ind w:left="142" w:right="-238" w:hanging="568"/>
        <w:jc w:val="left"/>
        <w:rPr>
          <w:rFonts w:ascii="Calibri" w:hAnsi="Calibri" w:cs="Calibri"/>
          <w:color w:val="00B0F0"/>
          <w:sz w:val="20"/>
          <w:szCs w:val="20"/>
        </w:rPr>
      </w:pPr>
      <w:r>
        <w:rPr>
          <w:rFonts w:cs="Calibri" w:ascii="Calibri" w:hAnsi="Calibri"/>
          <w:color w:val="00B0F0"/>
          <w:sz w:val="20"/>
          <w:szCs w:val="20"/>
        </w:rPr>
        <w:t>Abondement</w:t>
      </w:r>
    </w:p>
    <w:p>
      <w:pPr>
        <w:pStyle w:val="Heading2"/>
        <w:keepLines/>
        <w:numPr>
          <w:ilvl w:val="1"/>
          <w:numId w:val="1"/>
        </w:numPr>
        <w:ind w:left="-426" w:right="-238" w:hanging="0"/>
        <w:jc w:val="left"/>
        <w:rPr>
          <w:rFonts w:ascii="Calibri" w:hAnsi="Calibri" w:cs="Calibri"/>
          <w:color w:val="00B0F0"/>
          <w:sz w:val="20"/>
          <w:szCs w:val="20"/>
        </w:rPr>
      </w:pPr>
      <w:r>
        <w:rPr>
          <w:rFonts w:cs="Calibri" w:ascii="Calibri" w:hAnsi="Calibri"/>
          <w:color w:val="00B0F0"/>
          <w:sz w:val="20"/>
          <w:szCs w:val="20"/>
        </w:rPr>
      </w:r>
    </w:p>
    <w:p>
      <w:pPr>
        <w:pStyle w:val="Heading2"/>
        <w:keepLines/>
        <w:numPr>
          <w:ilvl w:val="1"/>
          <w:numId w:val="1"/>
        </w:numPr>
        <w:ind w:left="-426" w:right="-238" w:hanging="0"/>
        <w:jc w:val="left"/>
        <w:rPr>
          <w:rFonts w:ascii="Calibri" w:hAnsi="Calibri" w:cs="Calibri"/>
          <w:b w:val="false"/>
          <w:b w:val="false"/>
          <w:bCs/>
          <w:color w:val="00B0F0"/>
          <w:sz w:val="20"/>
          <w:szCs w:val="20"/>
        </w:rPr>
      </w:pPr>
      <w:r>
        <w:rPr>
          <w:rFonts w:eastAsia="Calibri" w:cs="Calibri" w:ascii="Calibri" w:hAnsi="Calibri"/>
          <w:b w:val="false"/>
          <w:bCs/>
          <w:color w:val="000000"/>
          <w:sz w:val="20"/>
          <w:szCs w:val="20"/>
        </w:rPr>
        <w:t>Une négociation avec les Délégués Syndicaux est en cours pour mettre en place une campagne d’abondement sur versement(s) volontaire(s) sur les supports d’épargne salariale (PEE et PERCO).</w:t>
      </w:r>
    </w:p>
    <w:p>
      <w:pPr>
        <w:pStyle w:val="Normal"/>
        <w:ind w:left="-426" w:right="-238" w:hanging="0"/>
        <w:jc w:val="both"/>
        <w:rPr>
          <w:rFonts w:ascii="Calibri" w:hAnsi="Calibri" w:eastAsia="Calibri" w:cs="Calibri"/>
          <w:b/>
          <w:b/>
          <w:bCs/>
          <w:color w:val="000000"/>
          <w:sz w:val="20"/>
          <w:szCs w:val="20"/>
        </w:rPr>
      </w:pPr>
      <w:r>
        <w:rPr>
          <w:rFonts w:eastAsia="Calibri" w:cs="Calibri" w:ascii="Calibri" w:hAnsi="Calibri"/>
          <w:b/>
          <w:bCs/>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6 – Equilibre vie familiale / vie professionnelle et qualité de vie au travail</w:t>
      </w:r>
    </w:p>
    <w:p>
      <w:pPr>
        <w:pStyle w:val="Paragraphedeliste"/>
        <w:tabs>
          <w:tab w:val="left" w:pos="284" w:leader="none"/>
        </w:tabs>
        <w:ind w:left="-426" w:right="-238" w:hanging="0"/>
        <w:jc w:val="both"/>
        <w:rPr>
          <w:rFonts w:ascii="Calibri" w:hAnsi="Calibri" w:cs="Calibri"/>
          <w:b/>
          <w:b/>
          <w:color w:val="000000"/>
          <w:sz w:val="20"/>
          <w:szCs w:val="20"/>
        </w:rPr>
      </w:pPr>
      <w:r>
        <w:rPr>
          <w:rFonts w:cs="Calibri"/>
          <w:b/>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Forfaits jours réduits</w:t>
      </w:r>
    </w:p>
    <w:p>
      <w:pPr>
        <w:pStyle w:val="Paragraphedeliste"/>
        <w:tabs>
          <w:tab w:val="left" w:pos="284" w:leader="none"/>
        </w:tabs>
        <w:ind w:left="-426" w:right="-238" w:hanging="0"/>
        <w:jc w:val="both"/>
        <w:rPr>
          <w:rFonts w:ascii="Calibri" w:hAnsi="Calibri" w:cs="Calibri"/>
          <w:color w:val="000000"/>
          <w:sz w:val="20"/>
          <w:szCs w:val="20"/>
        </w:rPr>
      </w:pPr>
      <w:r>
        <w:rPr>
          <w:rFonts w:cs="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Les forfaits à 92% et à 95%, ouverts aux salariés en forfait jours, sont tous deux reconduits en 2022.</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 xml:space="preserve">Congé maternité </w:t>
      </w:r>
    </w:p>
    <w:p>
      <w:pPr>
        <w:pStyle w:val="Normal"/>
        <w:ind w:left="-426" w:right="-238" w:hanging="0"/>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mesure d’allongement du congé maternité proposée par BearingPoint est maintenue dans les mêmes conditions que 2021, à savoir :</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1 mois de congé supplémentaire offert, accolé au congé maternité, et rémunéré à 100%</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ou 2 mois de congé supplémentaires offerts, rémunérés à 50%</w:t>
      </w:r>
    </w:p>
    <w:p>
      <w:pPr>
        <w:pStyle w:val="Normal"/>
        <w:numPr>
          <w:ilvl w:val="0"/>
          <w:numId w:val="11"/>
        </w:numPr>
        <w:ind w:left="66" w:right="-238" w:hanging="360"/>
        <w:jc w:val="both"/>
        <w:rPr>
          <w:rFonts w:ascii="Calibri" w:hAnsi="Calibri" w:cs="Calibri"/>
          <w:color w:val="000000"/>
          <w:sz w:val="21"/>
          <w:szCs w:val="21"/>
        </w:rPr>
      </w:pPr>
      <w:r>
        <w:rPr>
          <w:rFonts w:cs="Calibri" w:ascii="Calibri" w:hAnsi="Calibri"/>
          <w:color w:val="000000"/>
          <w:sz w:val="21"/>
          <w:szCs w:val="21"/>
        </w:rPr>
        <w:t>la prise de jours supplémentaires en format « temps partiel » si les conditions de la mission le permettent : 20 jours à prendre dans les 3 mois suivant le retour au travail</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rPr>
          <w:rFonts w:ascii="Calibri" w:hAnsi="Calibri" w:eastAsia="Calibri" w:cs="Calibri"/>
          <w:color w:val="000000"/>
          <w:sz w:val="21"/>
          <w:szCs w:val="21"/>
        </w:rPr>
      </w:pPr>
      <w:r>
        <w:rPr>
          <w:rFonts w:eastAsia="Calibri" w:cs="Calibri" w:ascii="Calibri" w:hAnsi="Calibri"/>
          <w:color w:val="000000"/>
          <w:sz w:val="21"/>
          <w:szCs w:val="21"/>
        </w:rPr>
        <w:t>En complément, un dispositif de coaching dédié à la maternité est proposé et toutes les mères peuvent bénéficier de 4 séances de coaching au moment de leur congé maternité :</w:t>
      </w:r>
    </w:p>
    <w:p>
      <w:pPr>
        <w:pStyle w:val="Normal"/>
        <w:numPr>
          <w:ilvl w:val="0"/>
          <w:numId w:val="8"/>
        </w:numPr>
        <w:ind w:left="294" w:right="-238" w:hanging="360"/>
        <w:rPr>
          <w:rFonts w:ascii="Calibri" w:hAnsi="Calibri" w:eastAsia="Calibri" w:cs="Calibri"/>
          <w:color w:val="000000"/>
          <w:sz w:val="21"/>
          <w:szCs w:val="21"/>
        </w:rPr>
      </w:pPr>
      <w:r>
        <w:rPr>
          <w:rFonts w:eastAsia="Calibri" w:cs="Calibri" w:ascii="Calibri" w:hAnsi="Calibri"/>
          <w:color w:val="000000"/>
          <w:sz w:val="21"/>
          <w:szCs w:val="21"/>
        </w:rPr>
        <w:t>1 séance avant le congé maternité pour préparer le départ en congé maternité</w:t>
      </w:r>
    </w:p>
    <w:p>
      <w:pPr>
        <w:pStyle w:val="Normal"/>
        <w:numPr>
          <w:ilvl w:val="0"/>
          <w:numId w:val="8"/>
        </w:numPr>
        <w:ind w:left="294" w:right="-238" w:hanging="360"/>
        <w:rPr/>
      </w:pPr>
      <w:r>
        <w:rPr>
          <w:rFonts w:eastAsia="Calibri" w:cs="Calibri" w:ascii="Calibri" w:hAnsi="Calibri"/>
          <w:color w:val="000000"/>
          <w:sz w:val="21"/>
          <w:szCs w:val="21"/>
        </w:rPr>
        <w:t>1 séance dans les 15 jours suivant le retour du congé maternité</w:t>
      </w:r>
    </w:p>
    <w:p>
      <w:pPr>
        <w:pStyle w:val="Normal"/>
        <w:numPr>
          <w:ilvl w:val="0"/>
          <w:numId w:val="8"/>
        </w:numPr>
        <w:ind w:left="294" w:right="-238" w:hanging="360"/>
        <w:rPr>
          <w:rFonts w:ascii="Calibri" w:hAnsi="Calibri" w:eastAsia="Calibri" w:cs="Calibri"/>
          <w:color w:val="000000"/>
          <w:sz w:val="21"/>
          <w:szCs w:val="21"/>
        </w:rPr>
      </w:pPr>
      <w:r>
        <w:rPr>
          <w:rFonts w:eastAsia="Calibri" w:cs="Calibri" w:ascii="Calibri" w:hAnsi="Calibri"/>
          <w:color w:val="000000"/>
          <w:sz w:val="21"/>
          <w:szCs w:val="21"/>
        </w:rPr>
        <w:t>2 séances à positionner à la convenance de la salariée</w:t>
      </w:r>
    </w:p>
    <w:p>
      <w:pPr>
        <w:pStyle w:val="Normal"/>
        <w:ind w:left="-426" w:right="-238" w:hanging="0"/>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 xml:space="preserve">Congé paternité </w:t>
      </w:r>
    </w:p>
    <w:p>
      <w:pPr>
        <w:pStyle w:val="Normal"/>
        <w:ind w:left="-426" w:right="-238" w:hanging="0"/>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Depuis le 1</w:t>
      </w:r>
      <w:r>
        <w:rPr>
          <w:rFonts w:cs="Calibri" w:ascii="Calibri" w:hAnsi="Calibri"/>
          <w:color w:val="000000"/>
          <w:sz w:val="20"/>
          <w:szCs w:val="20"/>
          <w:vertAlign w:val="superscript"/>
        </w:rPr>
        <w:t>er</w:t>
      </w:r>
      <w:r>
        <w:rPr>
          <w:rFonts w:cs="Calibri" w:ascii="Calibri" w:hAnsi="Calibri"/>
          <w:color w:val="000000"/>
          <w:sz w:val="20"/>
          <w:szCs w:val="20"/>
        </w:rPr>
        <w:t xml:space="preserve"> juillet 2021, la durée du congé paternité est passée de 14 à 28 jours, durée pendant laquelle BearingPoint s’engage à maintenir à 100% le salaire net des pères, déduction faite des indemnités journalières de la Sécurité Sociale.</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A compter de mars 2022, BearingPoint ajoute à ces 28 jours une semaine de congés supplémentaire, à prendre dans les 6 mois suivants la naissance de l’enfant, avec un maintien de salaire à 100%.</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eastAsia="Calibri" w:cs="Calibri"/>
          <w:color w:val="000000"/>
          <w:sz w:val="21"/>
          <w:szCs w:val="21"/>
        </w:rPr>
      </w:pPr>
      <w:r>
        <w:rPr>
          <w:rFonts w:eastAsia="Calibri" w:cs="Calibri" w:ascii="Calibri" w:hAnsi="Calibri"/>
          <w:color w:val="000000"/>
          <w:sz w:val="21"/>
          <w:szCs w:val="21"/>
        </w:rPr>
        <w:t>En complément, un dispositif de coaching dédié à la paternité est proposé et toutes les pères peuvent bénéficier de 2 séances de coaching à positionner avant ou après leur congé.</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Congé parental « second parent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Pour favoriser l’inclusion, BearingPoint a mis en place le congé « second parent » en 2021 pour permettre à l’ensemble des parents de tout sexe de bénéficier a minima d’un congé égal au congé paternité, et ce dans les mêmes conditions financières, à savoir un congé de 28 jours, rémunéré à 100%, supporté en totalité par BearingPoint.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eastAsia="Calibri" w:cs="Calibri" w:ascii="Calibri" w:hAnsi="Calibri"/>
          <w:color w:val="000000"/>
          <w:sz w:val="20"/>
          <w:szCs w:val="20"/>
        </w:rPr>
        <w:t>Ce congé second parent, qui représente un atout majeur dans la lutte pour l’égalité entre les femmes et les hommes, se verra allongé d’une 5</w:t>
      </w:r>
      <w:r>
        <w:rPr>
          <w:rFonts w:eastAsia="Calibri" w:cs="Calibri" w:ascii="Calibri" w:hAnsi="Calibri"/>
          <w:color w:val="000000"/>
          <w:sz w:val="20"/>
          <w:szCs w:val="20"/>
          <w:vertAlign w:val="superscript"/>
        </w:rPr>
        <w:t>ème</w:t>
      </w:r>
      <w:r>
        <w:rPr>
          <w:rFonts w:eastAsia="Calibri" w:cs="Calibri" w:ascii="Calibri" w:hAnsi="Calibri"/>
          <w:color w:val="000000"/>
          <w:sz w:val="20"/>
          <w:szCs w:val="20"/>
        </w:rPr>
        <w:t xml:space="preserve"> semaine de congés rémunérée à 100%, à prendre </w:t>
      </w:r>
      <w:r>
        <w:rPr>
          <w:rFonts w:cs="Calibri" w:ascii="Calibri" w:hAnsi="Calibri"/>
          <w:color w:val="000000"/>
          <w:sz w:val="20"/>
          <w:szCs w:val="20"/>
        </w:rPr>
        <w:t>dans les 6 mois suivants la naissance de l’enfant.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1"/>
          <w:szCs w:val="21"/>
        </w:rPr>
      </w:pPr>
      <w:r>
        <w:rPr>
          <w:rFonts w:eastAsia="Calibri" w:cs="Calibri" w:ascii="Calibri" w:hAnsi="Calibri"/>
          <w:color w:val="000000"/>
          <w:sz w:val="21"/>
          <w:szCs w:val="21"/>
        </w:rPr>
        <w:t>En complément, un dispositif de coaching dédié au parent, ne bénéficiant pas des mesures maternité ou paternité, est proposé avec 2 séances de coaching à positionner avant ou après leur congé second parent.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Télétravail</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Dans l’attente de la négociation d’un accord avec les Délégués Syndicaux, pour déterminer le meilleur cadre possible concernant la mise en place du télétravail, avec la définition du mode de travail hybride, mêlant travail présentiel et distanciel, le plus adapté pour ses salariés, BearingPoint maintient son dispositif d’accompagnement du télétravail selon les modalités suivantes :</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 xml:space="preserve">une indemnisation forfaitaire de 20 euros par mois </w:t>
      </w:r>
    </w:p>
    <w:p>
      <w:pPr>
        <w:pStyle w:val="Normal"/>
        <w:numPr>
          <w:ilvl w:val="0"/>
          <w:numId w:val="11"/>
        </w:numPr>
        <w:ind w:left="66" w:right="-238" w:hanging="360"/>
        <w:rPr>
          <w:rFonts w:ascii="Calibri" w:hAnsi="Calibri" w:eastAsia="Calibri" w:cs="Calibri"/>
          <w:color w:val="000000"/>
          <w:sz w:val="20"/>
          <w:szCs w:val="20"/>
        </w:rPr>
      </w:pPr>
      <w:r>
        <w:rPr>
          <w:rFonts w:eastAsia="Calibri" w:cs="Calibri" w:ascii="Calibri" w:hAnsi="Calibri"/>
          <w:color w:val="000000"/>
          <w:sz w:val="20"/>
          <w:szCs w:val="20"/>
        </w:rPr>
        <w:t>deux subventions équipement de 75 euros max correspondant à 50% de l’achat TTC dans la limite de 150€ TTC pour l’achat d’un écran et d’un fauteuil ergonomique</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la mise à disposition d’espaces de coworking avec le prestataire Neo-nomade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Evènements familiaux</w:t>
      </w:r>
    </w:p>
    <w:p>
      <w:pPr>
        <w:pStyle w:val="Heading2"/>
        <w:keepLines/>
        <w:numPr>
          <w:ilvl w:val="1"/>
          <w:numId w:val="1"/>
        </w:numPr>
        <w:ind w:left="-426" w:right="-238" w:hanging="0"/>
        <w:jc w:val="left"/>
        <w:rPr>
          <w:rFonts w:ascii="Calibri" w:hAnsi="Calibri" w:cs="Calibri"/>
          <w:color w:val="00B0F0"/>
          <w:sz w:val="20"/>
          <w:szCs w:val="20"/>
        </w:rPr>
      </w:pPr>
      <w:r>
        <w:rPr>
          <w:rFonts w:cs="Calibri" w:ascii="Calibri" w:hAnsi="Calibri"/>
          <w:color w:val="00B0F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A compter de 2022, chaque parent d’un enfant âgé de moins de 15 ans bénéficiera de 5 jours de congés enfant malade par enfant.</w:t>
      </w:r>
    </w:p>
    <w:p>
      <w:pPr>
        <w:pStyle w:val="Paragraphedeliste"/>
        <w:tabs>
          <w:tab w:val="left" w:pos="-142" w:leader="none"/>
        </w:tabs>
        <w:ind w:left="-426" w:right="-238" w:hanging="0"/>
        <w:jc w:val="both"/>
        <w:rPr>
          <w:rFonts w:ascii="Calibri" w:hAnsi="Calibri" w:eastAsia="Calibri" w:cs="Calibri"/>
          <w:color w:val="000000"/>
          <w:sz w:val="20"/>
          <w:szCs w:val="20"/>
        </w:rPr>
      </w:pPr>
      <w:r>
        <w:rPr>
          <w:rFonts w:eastAsia="Calibri"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 nombre de journées accordé par la Direction au titre des autres évènements familiaux reste inchangé par rapport à 2021.</w:t>
      </w:r>
    </w:p>
    <w:p>
      <w:pPr>
        <w:pStyle w:val="Paragraphedeliste"/>
        <w:tabs>
          <w:tab w:val="left" w:pos="284" w:leader="none"/>
        </w:tabs>
        <w:ind w:left="-426" w:right="-238" w:hanging="0"/>
        <w:jc w:val="both"/>
        <w:rPr>
          <w:rFonts w:cs="Calibri"/>
          <w:color w:val="000000"/>
          <w:sz w:val="20"/>
          <w:szCs w:val="20"/>
        </w:rPr>
      </w:pPr>
      <w:r>
        <w:rPr>
          <w:rFonts w:cs="Calibri"/>
          <w:color w:val="000000"/>
          <w:sz w:val="20"/>
          <w:szCs w:val="20"/>
        </w:rPr>
      </w:r>
    </w:p>
    <w:p>
      <w:pPr>
        <w:pStyle w:val="Heading2"/>
        <w:keepLines/>
        <w:numPr>
          <w:ilvl w:val="2"/>
          <w:numId w:val="6"/>
        </w:numPr>
        <w:ind w:left="142" w:right="-238" w:hanging="568"/>
        <w:jc w:val="left"/>
        <w:rPr>
          <w:rFonts w:ascii="Calibri" w:hAnsi="Calibri" w:cs="Calibri"/>
          <w:color w:val="00B0F0"/>
          <w:sz w:val="21"/>
          <w:szCs w:val="21"/>
        </w:rPr>
      </w:pPr>
      <w:r>
        <w:rPr>
          <w:rFonts w:cs="Calibri" w:ascii="Calibri" w:hAnsi="Calibri"/>
          <w:color w:val="00B0F0"/>
          <w:sz w:val="21"/>
          <w:szCs w:val="21"/>
        </w:rPr>
        <w:t>Mécénat de compétences et missions pro bono</w:t>
      </w:r>
    </w:p>
    <w:p>
      <w:pPr>
        <w:pStyle w:val="Paragraphedeliste"/>
        <w:tabs>
          <w:tab w:val="left" w:pos="-142" w:leader="none"/>
        </w:tabs>
        <w:ind w:left="-426" w:right="-238" w:hanging="0"/>
        <w:jc w:val="both"/>
        <w:rPr>
          <w:rFonts w:ascii="Calibri" w:hAnsi="Calibri"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Les collaborateurs pourront réaliser du mécénat de compétences pendant leur temps de travail sur leurs missions clients.</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Par ailleurs, BearingPoint renouvelle son partenariat avec Vendredi, pour permettre à tous les salariés de s’impliquer dans un engagement solidaire via des missions pro bono, permettant notamment d’accompagner une association d’intérêt général sur le temps de travail, sans perte de rémunération.</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Pour s’engager, il suffit d’identifier sur la plateforme Vendredi une mission solidaire en fonction de ses envies, compétences, disponibilité, localisation, etc. et d’informer son Development Manager ou Engagement Manager pour s’assurer au préalable de la compatibilité de l’engagement pro bono avec les tâches à réaliser ou la mission en cours.</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t>La journée de solidarité 2022, positionnée pour tous les salariés de l’UES sur le lundi de Pentecôte, soit le 6 juin 2022, pourra être consacrée à une mission pro bono, en lieu et place d’une JRTT.</w:t>
      </w:r>
    </w:p>
    <w:p>
      <w:pPr>
        <w:pStyle w:val="Paragraphedeliste"/>
        <w:tabs>
          <w:tab w:val="left" w:pos="-142" w:leader="none"/>
        </w:tabs>
        <w:ind w:left="-426" w:right="-238" w:hanging="0"/>
        <w:jc w:val="both"/>
        <w:rPr>
          <w:rFonts w:cs="Calibri"/>
          <w:color w:val="000000"/>
          <w:sz w:val="20"/>
          <w:szCs w:val="20"/>
        </w:rPr>
      </w:pPr>
      <w:r>
        <w:rPr>
          <w:rFonts w:cs="Calibri"/>
          <w:color w:val="000000"/>
          <w:sz w:val="20"/>
          <w:szCs w:val="20"/>
        </w:rPr>
      </w:r>
    </w:p>
    <w:p>
      <w:pPr>
        <w:pStyle w:val="Heading2"/>
        <w:keepLines/>
        <w:numPr>
          <w:ilvl w:val="2"/>
          <w:numId w:val="6"/>
        </w:numPr>
        <w:ind w:left="142" w:right="-238" w:hanging="568"/>
        <w:jc w:val="left"/>
        <w:rPr>
          <w:rFonts w:ascii="Calibri" w:hAnsi="Calibri" w:cs="Calibri"/>
          <w:color w:val="00B0F0"/>
          <w:sz w:val="20"/>
          <w:szCs w:val="20"/>
        </w:rPr>
      </w:pPr>
      <w:r>
        <w:rPr>
          <w:rFonts w:cs="Calibri" w:ascii="Calibri" w:hAnsi="Calibri"/>
          <w:color w:val="00B0F0"/>
          <w:sz w:val="20"/>
          <w:szCs w:val="20"/>
        </w:rPr>
        <w:t xml:space="preserve">Autres </w:t>
      </w:r>
    </w:p>
    <w:p>
      <w:pPr>
        <w:pStyle w:val="Heading2"/>
        <w:keepLines/>
        <w:numPr>
          <w:ilvl w:val="1"/>
          <w:numId w:val="1"/>
        </w:numPr>
        <w:ind w:left="-426" w:right="-238" w:hanging="0"/>
        <w:jc w:val="left"/>
        <w:rPr>
          <w:rFonts w:ascii="Calibri" w:hAnsi="Calibri" w:cs="Calibri"/>
          <w:color w:val="00B0F0"/>
          <w:sz w:val="20"/>
          <w:szCs w:val="20"/>
        </w:rPr>
      </w:pPr>
      <w:r>
        <w:rPr>
          <w:rFonts w:cs="Calibri" w:ascii="Calibri" w:hAnsi="Calibri"/>
          <w:color w:val="00B0F0"/>
          <w:sz w:val="20"/>
          <w:szCs w:val="20"/>
        </w:rPr>
      </w:r>
    </w:p>
    <w:p>
      <w:pPr>
        <w:pStyle w:val="Heading2"/>
        <w:keepLines/>
        <w:numPr>
          <w:ilvl w:val="1"/>
          <w:numId w:val="1"/>
        </w:numPr>
        <w:ind w:left="-426" w:right="-238" w:hanging="0"/>
        <w:jc w:val="left"/>
        <w:rPr>
          <w:rFonts w:ascii="Calibri" w:hAnsi="Calibri" w:eastAsia="Calibri" w:cs="Calibri"/>
          <w:b w:val="false"/>
          <w:b w:val="false"/>
          <w:color w:val="000000"/>
          <w:sz w:val="20"/>
          <w:szCs w:val="20"/>
        </w:rPr>
      </w:pPr>
      <w:r>
        <w:rPr>
          <w:rFonts w:eastAsia="Calibri" w:cs="Calibri" w:ascii="Calibri" w:hAnsi="Calibri"/>
          <w:b w:val="false"/>
          <w:color w:val="000000"/>
          <w:sz w:val="20"/>
          <w:szCs w:val="20"/>
        </w:rPr>
        <w:t>Les modalités et conditions d’éligibilité restent inchangées concernant :</w:t>
      </w:r>
    </w:p>
    <w:p>
      <w:pPr>
        <w:pStyle w:val="Heading2"/>
        <w:keepLines/>
        <w:numPr>
          <w:ilvl w:val="0"/>
          <w:numId w:val="11"/>
        </w:numPr>
        <w:ind w:left="66" w:right="-238" w:hanging="360"/>
        <w:jc w:val="left"/>
        <w:rPr>
          <w:rFonts w:ascii="Calibri" w:hAnsi="Calibri" w:eastAsia="Calibri" w:cs="Calibri"/>
          <w:b w:val="false"/>
          <w:b w:val="false"/>
          <w:color w:val="000000"/>
          <w:sz w:val="20"/>
          <w:szCs w:val="20"/>
        </w:rPr>
      </w:pPr>
      <w:r>
        <w:rPr>
          <w:rFonts w:eastAsia="Calibri" w:cs="Calibri" w:ascii="Calibri" w:hAnsi="Calibri"/>
          <w:b w:val="false"/>
          <w:color w:val="000000"/>
          <w:sz w:val="20"/>
          <w:szCs w:val="20"/>
        </w:rPr>
        <w:t>le congé pour être juré d’assises</w:t>
      </w:r>
    </w:p>
    <w:p>
      <w:pPr>
        <w:pStyle w:val="Heading2"/>
        <w:keepLines/>
        <w:numPr>
          <w:ilvl w:val="0"/>
          <w:numId w:val="11"/>
        </w:numPr>
        <w:ind w:left="66" w:right="-238" w:hanging="360"/>
        <w:jc w:val="left"/>
        <w:rPr>
          <w:rFonts w:ascii="Calibri" w:hAnsi="Calibri" w:eastAsia="Calibri" w:cs="Calibri"/>
          <w:b w:val="false"/>
          <w:b w:val="false"/>
          <w:color w:val="000000"/>
          <w:sz w:val="20"/>
          <w:szCs w:val="20"/>
        </w:rPr>
      </w:pPr>
      <w:r>
        <w:rPr>
          <w:rFonts w:eastAsia="Calibri" w:cs="Calibri" w:ascii="Calibri" w:hAnsi="Calibri"/>
          <w:b w:val="false"/>
          <w:color w:val="000000"/>
          <w:sz w:val="20"/>
          <w:szCs w:val="20"/>
        </w:rPr>
        <w:t>la possibilité de faire partie de la réserve militaire</w:t>
      </w:r>
    </w:p>
    <w:p>
      <w:pPr>
        <w:pStyle w:val="Heading2"/>
        <w:keepLines/>
        <w:numPr>
          <w:ilvl w:val="0"/>
          <w:numId w:val="11"/>
        </w:numPr>
        <w:ind w:left="66" w:right="-238" w:hanging="360"/>
        <w:jc w:val="left"/>
        <w:rPr>
          <w:rFonts w:ascii="Calibri" w:hAnsi="Calibri" w:eastAsia="Calibri" w:cs="Calibri"/>
          <w:b w:val="false"/>
          <w:b w:val="false"/>
          <w:bCs/>
          <w:color w:val="000000"/>
          <w:sz w:val="20"/>
          <w:szCs w:val="20"/>
        </w:rPr>
      </w:pPr>
      <w:r>
        <w:rPr>
          <w:rFonts w:eastAsia="Calibri" w:cs="Calibri" w:ascii="Calibri" w:hAnsi="Calibri"/>
          <w:b w:val="false"/>
          <w:bCs/>
          <w:color w:val="000000"/>
          <w:sz w:val="20"/>
          <w:szCs w:val="20"/>
        </w:rPr>
        <w:t>l’offre sport avec Gymlib (accès à plus de 4.000 salles de sport et 300 activités partout en France)</w:t>
      </w:r>
    </w:p>
    <w:p>
      <w:pPr>
        <w:pStyle w:val="Paragraphedeliste"/>
        <w:tabs>
          <w:tab w:val="left" w:pos="284" w:leader="none"/>
        </w:tabs>
        <w:ind w:left="-426" w:right="-238" w:hanging="0"/>
        <w:jc w:val="both"/>
        <w:rPr>
          <w:rFonts w:ascii="Calibri" w:hAnsi="Calibri" w:eastAsia="Calibri" w:cs="Calibri"/>
          <w:b/>
          <w:b/>
          <w:bCs/>
          <w:color w:val="000000"/>
          <w:sz w:val="20"/>
          <w:szCs w:val="20"/>
        </w:rPr>
      </w:pPr>
      <w:r>
        <w:rPr>
          <w:rFonts w:eastAsia="Calibri" w:cs="Calibri"/>
          <w:b/>
          <w:bCs/>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7 – DROIT A LA DECONNEXION</w:t>
      </w:r>
    </w:p>
    <w:p>
      <w:pPr>
        <w:pStyle w:val="Normal"/>
        <w:ind w:left="-426" w:right="-238" w:hanging="0"/>
        <w:jc w:val="both"/>
        <w:rPr>
          <w:rFonts w:ascii="Calibri" w:hAnsi="Calibri" w:cs="Calibri"/>
          <w:b/>
          <w:b/>
          <w:color w:val="000000"/>
          <w:sz w:val="20"/>
          <w:szCs w:val="20"/>
          <w:u w:val="single"/>
        </w:rPr>
      </w:pPr>
      <w:r>
        <w:rPr>
          <w:rFonts w:cs="Calibri" w:ascii="Calibri" w:hAnsi="Calibri"/>
          <w:b/>
          <w:color w:val="000000"/>
          <w:sz w:val="20"/>
          <w:szCs w:val="20"/>
          <w:u w:val="single"/>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 xml:space="preserve">La négociation sur le droit à la déconnexion, amorcée courant 2020 avec les délégués syndicaux, n’a pas abouti à un accord. </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 xml:space="preserve">La Direction est toutefois consciente que ce sujet doit être formalisé, notamment au cours de la mise à jour 2022 du Document Unique d’Evaluation des Risques Professionnels (DUERP). </w:t>
      </w:r>
    </w:p>
    <w:p>
      <w:pPr>
        <w:pStyle w:val="Normal"/>
        <w:ind w:right="-238" w:hanging="0"/>
        <w:jc w:val="both"/>
        <w:rPr>
          <w:rFonts w:ascii="Calibri" w:hAnsi="Calibri" w:cs="Calibri"/>
          <w:color w:val="000000"/>
          <w:sz w:val="20"/>
          <w:szCs w:val="20"/>
        </w:rPr>
      </w:pPr>
      <w:r>
        <w:rPr>
          <w:rFonts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t>Dans l’intervalle, l’importance de surveiller leur équilibre vie personnelle/vie professionnelle est constamment rappelée aux salariés, et systématiquement abordée au cours de l’entretien professionnel annuel.</w:t>
      </w:r>
    </w:p>
    <w:p>
      <w:pPr>
        <w:pStyle w:val="Normal"/>
        <w:ind w:left="-426" w:right="-238" w:hanging="0"/>
        <w:jc w:val="both"/>
        <w:rPr>
          <w:rFonts w:ascii="Calibri" w:hAnsi="Calibri" w:cs="Calibri"/>
          <w:color w:val="000000"/>
          <w:sz w:val="20"/>
          <w:szCs w:val="20"/>
        </w:rPr>
      </w:pPr>
      <w:r>
        <w:rPr>
          <w:rFonts w:cs="Calibri" w:ascii="Calibri" w:hAnsi="Calibri"/>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8 – EGALITE PROFESSIONNELLE</w:t>
      </w:r>
    </w:p>
    <w:p>
      <w:pPr>
        <w:pStyle w:val="Paragraphedeliste"/>
        <w:tabs>
          <w:tab w:val="left" w:pos="284" w:leader="none"/>
        </w:tabs>
        <w:ind w:left="-426" w:right="-238" w:hanging="0"/>
        <w:jc w:val="both"/>
        <w:rPr>
          <w:rFonts w:ascii="Calibri" w:hAnsi="Calibri" w:eastAsia="Times New Roman" w:cs="Calibri"/>
          <w:b/>
          <w:b/>
          <w:color w:val="000000"/>
          <w:sz w:val="20"/>
          <w:szCs w:val="20"/>
          <w:u w:val="single"/>
          <w:lang w:eastAsia="en-US"/>
        </w:rPr>
      </w:pPr>
      <w:r>
        <w:rPr>
          <w:rFonts w:eastAsia="Times New Roman" w:cs="Calibri"/>
          <w:b/>
          <w:color w:val="000000"/>
          <w:sz w:val="20"/>
          <w:szCs w:val="20"/>
          <w:u w:val="single"/>
          <w:lang w:eastAsia="en-US"/>
        </w:rPr>
      </w:r>
    </w:p>
    <w:p>
      <w:pPr>
        <w:pStyle w:val="Heading2"/>
        <w:keepLines/>
        <w:numPr>
          <w:ilvl w:val="3"/>
          <w:numId w:val="6"/>
        </w:numPr>
        <w:ind w:left="0" w:right="-238" w:hanging="426"/>
        <w:jc w:val="left"/>
        <w:rPr>
          <w:rFonts w:ascii="Calibri" w:hAnsi="Calibri" w:cs="Calibri"/>
          <w:color w:val="00B0F0"/>
          <w:sz w:val="20"/>
          <w:szCs w:val="20"/>
        </w:rPr>
      </w:pPr>
      <w:r>
        <w:rPr>
          <w:rFonts w:cs="Calibri" w:ascii="Calibri" w:hAnsi="Calibri"/>
          <w:color w:val="00B0F0"/>
          <w:sz w:val="20"/>
          <w:szCs w:val="20"/>
        </w:rPr>
        <w:t>Egalité Femme/Homme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diversité au sens large constitue un élément fondamental de la culture de BearingPoint, et notre implication se reflète dans nos valeurs et nos modes de travail, pour permettre à nos talents d’aujourd’hui et de demain d’évoluer dans un environnement inclusif et responsable.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Concernant notre engagement en matière de mixité, les objectifs 2025 au niveau de BearingPoint Groupe sont :</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40% de femmes tous grades confondus</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au moins 20% de femmes Partners</w:t>
      </w:r>
    </w:p>
    <w:p>
      <w:pPr>
        <w:pStyle w:val="Normal"/>
        <w:numPr>
          <w:ilvl w:val="0"/>
          <w:numId w:val="11"/>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une représentation féminine dans le top management (SM, DA, P) de toutes nos équipes</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A</w:t>
      </w:r>
      <w:r>
        <w:rPr>
          <w:rFonts w:cs="Calibri" w:ascii="Calibri" w:hAnsi="Calibri"/>
          <w:sz w:val="20"/>
          <w:szCs w:val="20"/>
        </w:rPr>
        <w:t>u niveau de notre région FBLA, si les deux premiers objectifs sont déjà atteints, nous souhaitons être e</w:t>
      </w:r>
      <w:r>
        <w:rPr>
          <w:rFonts w:eastAsia="Calibri" w:cs="Calibri" w:ascii="Calibri" w:hAnsi="Calibri"/>
          <w:color w:val="000000"/>
          <w:sz w:val="20"/>
          <w:szCs w:val="20"/>
        </w:rPr>
        <w:t>ncore plus ambitieux et permettre à chacune de se construire une carrière durable au sein du cabinet.</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 rapport de situation comparée entre les hommes et les femmes pour l’année 2020 a permis de confirmer l’égalité professionnelle entre hommes et femmes par l’analyse de la situation des hommes et des femmes par catégorie professionnelle, en matière d'embauche, de formation de promotion, de qualification, de conditions de travail, de rémunération effective et d'articulation entre l'activité professionnelle et les responsabilités familiales des salariés.</w:t>
      </w:r>
    </w:p>
    <w:p>
      <w:pPr>
        <w:pStyle w:val="Normal"/>
        <w:ind w:left="-426" w:right="-238" w:hanging="0"/>
        <w:jc w:val="both"/>
        <w:rPr/>
      </w:pPr>
      <w:r>
        <w:rPr>
          <w:rFonts w:eastAsia="Calibri" w:cs="Calibri" w:ascii="Calibri" w:hAnsi="Calibri"/>
          <w:color w:val="000000"/>
          <w:sz w:val="20"/>
          <w:szCs w:val="20"/>
        </w:rPr>
        <w:t>Le rapport pour l’année 2021 sera présenté pour avis à l’instance du CSE dans le courant de l’année 2022.</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Les données communiquées dans le cadre de cette négociation annuelle obligatoire démontrent une égalité de rémunération entre les hommes et les femmes à grade équivalent compte tenu d’une part des très faibles écarts entre les rémunérations des hommes et des femmes à grade équivalent et d’autre part du fait que selon les grades et les années le faible écart peut se faire à l’avantage des femmes ou des hommes.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Dans le cadre des dispositions légales mises en place dans le cadre de la loi Avenir du 5 septembre 2018, les entreprises ont l’obligation de publier annuellement leurs indicateurs portant sur l’égalité F/H et de présenter les éventuelles actions correctives nécessaires, en complément depuis 2021, de l’affichage de leur score sur leur site internet. Les résultats de BearingPoint à son index </w:t>
      </w:r>
      <w:r>
        <w:rPr>
          <w:rFonts w:cs="Calibri" w:ascii="Calibri" w:hAnsi="Calibri"/>
          <w:color w:val="000000"/>
          <w:sz w:val="20"/>
          <w:szCs w:val="20"/>
        </w:rPr>
        <w:t>2022</w:t>
      </w:r>
      <w:r>
        <w:rPr>
          <w:rFonts w:eastAsia="Calibri" w:cs="Calibri" w:ascii="Calibri" w:hAnsi="Calibri"/>
          <w:color w:val="000000"/>
          <w:sz w:val="20"/>
          <w:szCs w:val="20"/>
        </w:rPr>
        <w:t>, sur la base des données chiffrées de l’année 2021, donnent une note de 94/100 (contre 89/100 l’année précédente), ce qui place BearingPoint en meilleure position des résultats obtenus par les cabinets de conseil (hors cabinets de conseil en stratégie).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L’ensemble des thématiques ayant trait à la diversité et l’inclusion sera enrichi de différentes initiatives dans le courant de l’année 2022, et notamment à travers le programme appelé « Female Acceleration », lancé en 2021 pour toutes les femmes du cabinet, consultantes comme fonctions supports. Ce programme, adapté à chaque grade, permet à chacune de nos salariées de bénéficier d’un parcours de formation et de coaching, à la fois collectif et individuel, et d’être accompagnée dans la durée, tout au long de leur carrière.</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Heading2"/>
        <w:keepLines/>
        <w:numPr>
          <w:ilvl w:val="3"/>
          <w:numId w:val="6"/>
        </w:numPr>
        <w:ind w:left="0" w:right="-238" w:hanging="426"/>
        <w:jc w:val="left"/>
        <w:rPr>
          <w:rFonts w:ascii="Calibri" w:hAnsi="Calibri" w:cs="Calibri"/>
          <w:color w:val="00B0F0"/>
          <w:sz w:val="20"/>
          <w:szCs w:val="20"/>
        </w:rPr>
      </w:pPr>
      <w:r>
        <w:rPr>
          <w:rFonts w:cs="Calibri" w:ascii="Calibri" w:hAnsi="Calibri"/>
          <w:color w:val="00B0F0"/>
          <w:sz w:val="20"/>
          <w:szCs w:val="20"/>
        </w:rPr>
        <w:t>Mobilité</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loi Mobilités du 26 décembre 2019 a ajouté un thème de négociation à l'égalité entre les femmes et les hommes et la qualité de vie au travail.</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Depuis 3 ans, BearingPoint étudie toutes les mesures visant à améliorer la mobilité des salariés entre leur lieu de résidence habituelle et leur lieu de travail, notamment en réduisant le coût de la mobilité, et en les incitant à l'usage des modes de transport vertueux.</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cs="Calibri"/>
          <w:color w:val="000000"/>
          <w:sz w:val="20"/>
          <w:szCs w:val="20"/>
        </w:rPr>
      </w:pPr>
      <w:r>
        <w:rPr>
          <w:rFonts w:eastAsia="Calibri" w:cs="Calibri" w:ascii="Calibri" w:hAnsi="Calibri"/>
          <w:color w:val="000000"/>
          <w:sz w:val="20"/>
          <w:szCs w:val="20"/>
        </w:rPr>
        <w:t xml:space="preserve">Pour inciter nos salariés à favoriser les mobilités douces pour leurs trajets domicile/lieu de travail, le Forfait Mobilités Durables a été reconduit en 2022 avec la signature en février 2022 des </w:t>
      </w:r>
      <w:r>
        <w:rPr>
          <w:rFonts w:cs="Calibri" w:ascii="Calibri" w:hAnsi="Calibri"/>
          <w:color w:val="000000"/>
          <w:sz w:val="20"/>
          <w:szCs w:val="20"/>
        </w:rPr>
        <w:t>organisations syndicales représentatives pour proposer à tous les salariés qui le souhaitent une enveloppe de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500 euros par an pour les utilisateurs exclusifs des mobilités douces</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600 euros par an pour les salariés qui combinent abonnement transport hebdo, mensuel ou annuel (au moins 1 abonnement dans l’année) et mobilités douces (location de vélo, trottinette, covoiturage, etc.)</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En complément, BearingPoint mettra en place le titre Mobilité qui se matérialisera par le versement mensuel d’une enveloppe transport dédiée.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De plus, BearingPoint renouvelle en 2022 son programme vélo avec le partenaire BeeToGreen, pour permettre à ses collaborateurs de pouvoir louer ou acheter un vélo et adapter leur transport à leurs besoins professionnels et personnels.</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Enfin, BearingPoint met l’accent sur la nécessité de réduire son empreinte carbone. Ainsi, la réduction des émissions de CO</w:t>
      </w:r>
      <w:r>
        <w:rPr>
          <w:rFonts w:eastAsia="Calibri" w:cs="Calibri" w:ascii="Calibri" w:hAnsi="Calibri"/>
          <w:color w:val="000000"/>
          <w:sz w:val="20"/>
          <w:szCs w:val="20"/>
          <w:vertAlign w:val="subscript"/>
        </w:rPr>
        <w:t>2</w:t>
      </w:r>
      <w:r>
        <w:rPr>
          <w:rFonts w:eastAsia="Calibri" w:cs="Calibri" w:ascii="Calibri" w:hAnsi="Calibri"/>
          <w:color w:val="000000"/>
          <w:sz w:val="20"/>
          <w:szCs w:val="20"/>
        </w:rPr>
        <w:t xml:space="preserve"> fera partie intégrante de son accord d’intéressement, avec un objectif ambitieux à atteindre pour 2022 d’une émission maximale de 1.451 tonnes de CO</w:t>
      </w:r>
      <w:r>
        <w:rPr>
          <w:rFonts w:eastAsia="Calibri" w:cs="Calibri" w:ascii="Calibri" w:hAnsi="Calibri"/>
          <w:color w:val="000000"/>
          <w:sz w:val="20"/>
          <w:szCs w:val="20"/>
          <w:vertAlign w:val="subscript"/>
        </w:rPr>
        <w:t>2</w:t>
      </w:r>
      <w:r>
        <w:rPr>
          <w:rFonts w:eastAsia="Calibri" w:cs="Calibri" w:ascii="Calibri" w:hAnsi="Calibri"/>
          <w:color w:val="000000"/>
          <w:sz w:val="20"/>
          <w:szCs w:val="20"/>
        </w:rPr>
        <w:t>/salarié, à comparer avec une émission de 1.684 t/p mesurée en 2019.</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L’application GreenWays permettra à chacun de calculer son empreinte carbone à titre individuel et d’adapter ses modes de transport pour les rendre plus verts/vertueux.</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9 – INSERTION PROFESSIONNELLE ET MAINTIEN DANS L’EMPLOI DES TRAVAILLEURS HANDICAPES</w:t>
      </w:r>
    </w:p>
    <w:p>
      <w:pPr>
        <w:pStyle w:val="Paragraphedeliste"/>
        <w:tabs>
          <w:tab w:val="left" w:pos="284" w:leader="none"/>
        </w:tabs>
        <w:ind w:left="-426" w:right="-238" w:hanging="0"/>
        <w:jc w:val="both"/>
        <w:rPr>
          <w:rFonts w:ascii="Calibri" w:hAnsi="Calibri" w:eastAsia="Times New Roman" w:cs="Calibri"/>
          <w:b/>
          <w:b/>
          <w:color w:val="000000"/>
          <w:sz w:val="20"/>
          <w:szCs w:val="20"/>
          <w:u w:val="single"/>
          <w:lang w:eastAsia="en-US"/>
        </w:rPr>
      </w:pPr>
      <w:r>
        <w:rPr>
          <w:rFonts w:eastAsia="Times New Roman" w:cs="Calibri"/>
          <w:b/>
          <w:color w:val="000000"/>
          <w:sz w:val="20"/>
          <w:szCs w:val="20"/>
          <w:u w:val="single"/>
          <w:lang w:eastAsia="en-US"/>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L’entreprise poursuit son partenariat avec Handicap et Solutions, qui se concrétisera en 2022 par :</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une action d’accompagnement au maintien dans l’emploi de nos travailleurs en situation de handicap. Cet accompagnement se matérialise par une écoute et une information des salariés sur les questions liées au handicap, mais également un conseil et un accompagnement des salariés et de l’entreprise pour l’aménagement des postes de travail (ou autres aménagements de compensation du handicap à titre privé).</w:t>
      </w:r>
    </w:p>
    <w:p>
      <w:pPr>
        <w:pStyle w:val="Normal"/>
        <w:numPr>
          <w:ilvl w:val="0"/>
          <w:numId w:val="5"/>
        </w:numPr>
        <w:ind w:left="66" w:right="-238" w:hanging="360"/>
        <w:jc w:val="both"/>
        <w:rPr>
          <w:rFonts w:ascii="Calibri" w:hAnsi="Calibri" w:eastAsia="Calibri" w:cs="Calibri"/>
          <w:color w:val="000000"/>
          <w:sz w:val="20"/>
          <w:szCs w:val="20"/>
        </w:rPr>
      </w:pPr>
      <w:r>
        <w:rPr>
          <w:rFonts w:eastAsia="Calibri" w:cs="Calibri" w:ascii="Calibri" w:hAnsi="Calibri"/>
          <w:color w:val="000000"/>
          <w:sz w:val="20"/>
          <w:szCs w:val="20"/>
        </w:rPr>
        <w:t>la poursuite des actions de sensibilisation pour l’ensemble des salariés, avec notamment :</w:t>
      </w:r>
    </w:p>
    <w:p>
      <w:pPr>
        <w:pStyle w:val="Normal"/>
        <w:numPr>
          <w:ilvl w:val="1"/>
          <w:numId w:val="5"/>
        </w:numPr>
        <w:ind w:left="654" w:right="-238" w:hanging="360"/>
        <w:jc w:val="both"/>
        <w:rPr>
          <w:rFonts w:ascii="Calibri" w:hAnsi="Calibri" w:eastAsia="Calibri" w:cs="Calibri"/>
          <w:color w:val="000000"/>
          <w:sz w:val="20"/>
          <w:szCs w:val="20"/>
        </w:rPr>
      </w:pPr>
      <w:r>
        <w:rPr>
          <w:rFonts w:eastAsia="Calibri" w:cs="Calibri" w:ascii="Calibri" w:hAnsi="Calibri"/>
          <w:color w:val="000000"/>
          <w:sz w:val="20"/>
          <w:szCs w:val="20"/>
        </w:rPr>
        <w:t>une sensibilisation au handicap en e-learning via notre outil Your Development pour déconstruire les stéréotypes qui peuvent être liés au handicap et informer les salariés sur les avantages liées à la RQTH et les démarches à effectuer pour l’obtenir : un format court à destination de tous les collaborateurs, un format managers pour créer un environnement de confiance et sécurisant pour tous, un format recruteurs pour plus d’inclusivité dans nos pratiques de recrutements</w:t>
      </w:r>
    </w:p>
    <w:p>
      <w:pPr>
        <w:pStyle w:val="Normal"/>
        <w:numPr>
          <w:ilvl w:val="1"/>
          <w:numId w:val="5"/>
        </w:numPr>
        <w:ind w:left="654" w:right="-238" w:hanging="360"/>
        <w:jc w:val="both"/>
        <w:rPr>
          <w:rFonts w:ascii="Calibri" w:hAnsi="Calibri" w:eastAsia="Calibri" w:cs="Calibri"/>
          <w:color w:val="000000"/>
          <w:sz w:val="20"/>
          <w:szCs w:val="20"/>
        </w:rPr>
      </w:pPr>
      <w:r>
        <w:rPr>
          <w:rFonts w:eastAsia="Calibri" w:cs="Calibri" w:ascii="Calibri" w:hAnsi="Calibri"/>
          <w:color w:val="000000"/>
          <w:sz w:val="20"/>
          <w:szCs w:val="20"/>
        </w:rPr>
        <w:t>une exposition photos à CBX (courant 2022), réalisées par un photographe en situation de handicap</w:t>
      </w:r>
    </w:p>
    <w:p>
      <w:pPr>
        <w:pStyle w:val="Paragraphedeliste"/>
        <w:ind w:left="0" w:right="-238" w:hanging="0"/>
        <w:jc w:val="both"/>
        <w:rPr>
          <w:rFonts w:ascii="Calibri" w:hAnsi="Calibri" w:eastAsia="Calibri" w:cs="Calibri"/>
          <w:color w:val="000000"/>
          <w:sz w:val="20"/>
          <w:szCs w:val="20"/>
        </w:rPr>
      </w:pPr>
      <w:r>
        <w:rPr>
          <w:rFonts w:eastAsia="Calibri" w:cs="Calibri"/>
          <w:color w:val="000000"/>
          <w:sz w:val="20"/>
          <w:szCs w:val="20"/>
        </w:rPr>
      </w:r>
    </w:p>
    <w:p>
      <w:pPr>
        <w:pStyle w:val="Normal"/>
        <w:shd w:fill="7030A0" w:val="clear"/>
        <w:ind w:left="-426" w:right="-238" w:hanging="0"/>
        <w:jc w:val="both"/>
        <w:rPr/>
      </w:pPr>
      <w:r>
        <w:rPr>
          <w:rFonts w:cs="Calibri" w:ascii="Calibri" w:hAnsi="Calibri"/>
          <w:b/>
          <w:color w:val="FFFFFF"/>
          <w:sz w:val="20"/>
          <w:szCs w:val="20"/>
        </w:rPr>
        <w:t>ARTICLE 10 – PRINCIPE DE NON-DISCRIMINATION</w:t>
      </w:r>
    </w:p>
    <w:p>
      <w:pPr>
        <w:pStyle w:val="Paragraphedeliste"/>
        <w:tabs>
          <w:tab w:val="left" w:pos="284" w:leader="none"/>
        </w:tabs>
        <w:ind w:left="-426" w:right="-238" w:hanging="0"/>
        <w:jc w:val="both"/>
        <w:rPr>
          <w:rFonts w:ascii="Calibri" w:hAnsi="Calibri" w:cs="Calibri"/>
          <w:b/>
          <w:b/>
          <w:color w:val="000000"/>
          <w:sz w:val="20"/>
          <w:szCs w:val="20"/>
        </w:rPr>
      </w:pPr>
      <w:r>
        <w:rPr>
          <w:rFonts w:cs="Calibri"/>
          <w:b/>
          <w:color w:val="000000"/>
          <w:sz w:val="20"/>
          <w:szCs w:val="20"/>
        </w:rPr>
      </w:r>
    </w:p>
    <w:p>
      <w:pPr>
        <w:pStyle w:val="Normal"/>
        <w:ind w:left="-426" w:right="-238" w:hanging="0"/>
        <w:jc w:val="both"/>
        <w:rPr/>
      </w:pPr>
      <w:r>
        <w:rPr>
          <w:rFonts w:eastAsia="Calibri" w:cs="Calibri" w:ascii="Calibri" w:hAnsi="Calibri"/>
          <w:color w:val="000000"/>
          <w:sz w:val="20"/>
          <w:szCs w:val="20"/>
        </w:rPr>
        <w:t xml:space="preserve">La Direction souhaite rappeler qu’elle porte une attention particulière au respect des dispositions générales du code du travail en matière de non-discrimination ainsi qu’à celles plus particulières concernant la discrimination syndicale et le déroulement de carrière des salariés exerçant des responsabilités syndicales et l'exercice de leurs fonctions. Elle confirme qu’aucune discrimination de quelque nature que ce soit n’est appliquée dans l’entreprise.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La Société fera application de l’article L.2141-5-1 du code du travail, entré en vigueur par la loi du 19 août 2015 :</w:t>
      </w:r>
    </w:p>
    <w:p>
      <w:pPr>
        <w:pStyle w:val="Normal"/>
        <w:ind w:left="-426" w:right="-238" w:hanging="0"/>
        <w:jc w:val="both"/>
        <w:rPr>
          <w:rFonts w:ascii="Calibri" w:hAnsi="Calibri" w:eastAsia="Calibri" w:cs="Calibri"/>
          <w:color w:val="000000"/>
          <w:sz w:val="20"/>
          <w:szCs w:val="20"/>
          <w:u w:val="single"/>
        </w:rPr>
      </w:pPr>
      <w:r>
        <w:rPr>
          <w:rFonts w:eastAsia="Calibri" w:cs="Calibri" w:ascii="Calibri" w:hAnsi="Calibri"/>
          <w:color w:val="000000"/>
          <w:sz w:val="20"/>
          <w:szCs w:val="20"/>
          <w:u w:val="single"/>
        </w:rPr>
      </w:r>
    </w:p>
    <w:p>
      <w:pPr>
        <w:pStyle w:val="Normal"/>
        <w:ind w:left="-426" w:right="-238" w:hanging="0"/>
        <w:jc w:val="both"/>
        <w:rPr/>
      </w:pPr>
      <w:r>
        <w:rPr>
          <w:rFonts w:eastAsia="Calibri" w:cs="Calibri" w:ascii="Calibri" w:hAnsi="Calibri"/>
          <w:color w:val="000000"/>
          <w:sz w:val="20"/>
          <w:szCs w:val="20"/>
          <w:u w:val="single"/>
        </w:rPr>
        <w:t>Article L.2141-5-1</w:t>
      </w:r>
    </w:p>
    <w:p>
      <w:pPr>
        <w:pStyle w:val="Normal"/>
        <w:shd w:fill="FFFFFF" w:val="clear"/>
        <w:ind w:left="-426" w:right="-238" w:hanging="0"/>
        <w:jc w:val="both"/>
        <w:textAlignment w:val="top"/>
        <w:rPr>
          <w:rFonts w:ascii="Calibri" w:hAnsi="Calibri" w:cs="Calibri"/>
          <w:color w:val="222222"/>
          <w:sz w:val="20"/>
          <w:szCs w:val="20"/>
        </w:rPr>
      </w:pPr>
      <w:r>
        <w:rPr>
          <w:rFonts w:cs="Calibri" w:ascii="Calibri" w:hAnsi="Calibri"/>
          <w:color w:val="222222"/>
          <w:sz w:val="20"/>
          <w:szCs w:val="20"/>
        </w:rPr>
        <w:t>En l'absence d'accord collectif de branche ou d'entreprise déterminant des garanties d'évolution de la rémunération des salariés mentionnés aux 1° à 7° de l'article L. 2411-1 et aux articles L. 2142-1-1 et L. 2411-2 au moins aussi favorables que celles mentionnées au présent article, ces salariés, lorsque le nombre d'heures de délégation dont ils disposent sur l'année dépasse 30 % de la durée de travail fixée dans leur contrat de travail ou, à défaut, de la durée applicable dans l'établissement, bénéficient d'une évolution de rémunération, au sens de l'article L. 3221-3, au moins égale, sur l'ensemble de la durée de leur mandat, aux augmentations générales et à la moyenne des augmentations individuelles perçues pendant cette période par les salariés relevant de la même catégorie professionnelle et dont l'ancienneté est comparable ou, à défaut de tels salariés, aux augmentations générales et à la moyenne des augmentations individuelles perçues dans l'entreprise.</w:t>
      </w:r>
    </w:p>
    <w:p>
      <w:pPr>
        <w:pStyle w:val="Normal"/>
        <w:ind w:right="-238" w:hanging="0"/>
        <w:rPr>
          <w:rFonts w:ascii="Calibri" w:hAnsi="Calibri" w:eastAsia="Calibri" w:cs="Calibri"/>
          <w:color w:val="222222"/>
          <w:sz w:val="20"/>
          <w:szCs w:val="20"/>
        </w:rPr>
      </w:pPr>
      <w:r>
        <w:rPr>
          <w:rFonts w:eastAsia="Calibri" w:cs="Calibri" w:ascii="Calibri" w:hAnsi="Calibri"/>
          <w:color w:val="222222"/>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11 : MESURES SPECIFIQUES A LA SOCIETE HYPERCUBE RESEARCH</w:t>
      </w:r>
    </w:p>
    <w:p>
      <w:pPr>
        <w:pStyle w:val="Normal"/>
        <w:ind w:right="-238" w:hanging="0"/>
        <w:jc w:val="both"/>
        <w:rPr>
          <w:rFonts w:ascii="Calibri" w:hAnsi="Calibri" w:eastAsia="Calibri" w:cs="Calibri"/>
          <w:b/>
          <w:b/>
          <w:color w:val="FFFFFF"/>
          <w:sz w:val="20"/>
          <w:szCs w:val="20"/>
        </w:rPr>
      </w:pPr>
      <w:r>
        <w:rPr>
          <w:rFonts w:eastAsia="Calibri" w:cs="Calibri" w:ascii="Calibri" w:hAnsi="Calibri"/>
          <w:b/>
          <w:color w:val="FFFFFF"/>
          <w:sz w:val="20"/>
          <w:szCs w:val="20"/>
        </w:rPr>
      </w:r>
    </w:p>
    <w:p>
      <w:pPr>
        <w:pStyle w:val="Normal"/>
        <w:ind w:left="-426" w:right="-238" w:hanging="0"/>
        <w:jc w:val="both"/>
        <w:rPr>
          <w:rFonts w:ascii="Calibri" w:hAnsi="Calibri" w:eastAsia="Calibri" w:cs="Calibri"/>
          <w:sz w:val="20"/>
          <w:szCs w:val="20"/>
        </w:rPr>
      </w:pPr>
      <w:r>
        <w:rPr>
          <w:rFonts w:eastAsia="Calibri" w:cs="Calibri" w:ascii="Calibri" w:hAnsi="Calibri"/>
          <w:color w:val="000000"/>
          <w:sz w:val="20"/>
          <w:szCs w:val="20"/>
        </w:rPr>
        <w:t>La Direction souhaite rendre applicable aux salariés de la Société Hypercube Research, dans les mêmes conditions, l’ensemble des dispositions applicables aux salariés de la société BearingPoint prévues dans la présente NAO ainsi que dans les précédentes, dès lors qu’aucune autre disposition spécifique n’a été expressément prévue.</w:t>
      </w:r>
    </w:p>
    <w:p>
      <w:pPr>
        <w:pStyle w:val="Normal"/>
        <w:ind w:right="-238" w:hanging="0"/>
        <w:rPr>
          <w:rFonts w:ascii="Calibri" w:hAnsi="Calibri" w:eastAsia="Calibri" w:cs="Calibri"/>
          <w:sz w:val="20"/>
          <w:szCs w:val="20"/>
        </w:rPr>
      </w:pPr>
      <w:r>
        <w:rPr>
          <w:rFonts w:eastAsia="Calibri" w:cs="Calibri" w:ascii="Calibri" w:hAnsi="Calibri"/>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12 : MESURES SPECIFIQUES A LA SOCIETE ARCWIDE FRANCE</w:t>
      </w:r>
    </w:p>
    <w:p>
      <w:pPr>
        <w:pStyle w:val="Normal"/>
        <w:ind w:right="-238" w:hanging="0"/>
        <w:jc w:val="both"/>
        <w:rPr>
          <w:rFonts w:ascii="Calibri" w:hAnsi="Calibri" w:eastAsia="Calibri" w:cs="Calibri"/>
          <w:b/>
          <w:b/>
          <w:color w:val="FFFFFF"/>
          <w:sz w:val="20"/>
          <w:szCs w:val="20"/>
        </w:rPr>
      </w:pPr>
      <w:r>
        <w:rPr>
          <w:rFonts w:eastAsia="Calibri" w:cs="Calibri" w:ascii="Calibri" w:hAnsi="Calibri"/>
          <w:b/>
          <w:color w:val="FFFFFF"/>
          <w:sz w:val="20"/>
          <w:szCs w:val="20"/>
        </w:rPr>
      </w:r>
    </w:p>
    <w:p>
      <w:pPr>
        <w:pStyle w:val="Normal"/>
        <w:ind w:left="-426" w:right="-238" w:hanging="0"/>
        <w:jc w:val="both"/>
        <w:rPr>
          <w:rFonts w:ascii="Calibri" w:hAnsi="Calibri" w:eastAsia="Calibri" w:cs="Calibri"/>
          <w:sz w:val="20"/>
          <w:szCs w:val="20"/>
        </w:rPr>
      </w:pPr>
      <w:r>
        <w:rPr>
          <w:rFonts w:eastAsia="Calibri" w:cs="Calibri" w:ascii="Calibri" w:hAnsi="Calibri"/>
          <w:color w:val="000000"/>
          <w:sz w:val="20"/>
          <w:szCs w:val="20"/>
        </w:rPr>
        <w:t>La Direction souhaite rendre applicable aux salariés de la Société Arcwide France, dans les mêmes conditions, l’ensemble des dispositions applicables aux salariés de la société BearingPoint prévues dans la présente NAO ainsi que dans les précédentes, dès lors qu’aucune autre disposition spécifique n’a été expressément prévue.</w:t>
      </w:r>
    </w:p>
    <w:p>
      <w:pPr>
        <w:pStyle w:val="Normal"/>
        <w:ind w:right="-238" w:hanging="0"/>
        <w:rPr>
          <w:rFonts w:ascii="Calibri" w:hAnsi="Calibri" w:eastAsia="Calibri" w:cs="Calibri"/>
          <w:sz w:val="20"/>
          <w:szCs w:val="20"/>
        </w:rPr>
      </w:pPr>
      <w:r>
        <w:rPr>
          <w:rFonts w:eastAsia="Calibri" w:cs="Calibri" w:ascii="Calibri" w:hAnsi="Calibri"/>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13 – DUREE ET APPLICATION DE L’ENGAGEMENT</w:t>
      </w:r>
    </w:p>
    <w:p>
      <w:pPr>
        <w:pStyle w:val="Normal"/>
        <w:ind w:left="-426" w:right="-238" w:hanging="0"/>
        <w:jc w:val="both"/>
        <w:rPr>
          <w:rFonts w:ascii="Calibri" w:hAnsi="Calibri" w:cs="Calibri"/>
          <w:b/>
          <w:b/>
          <w:color w:val="000000"/>
          <w:sz w:val="20"/>
          <w:szCs w:val="20"/>
        </w:rPr>
      </w:pPr>
      <w:r>
        <w:rPr>
          <w:rFonts w:cs="Calibri" w:ascii="Calibri" w:hAnsi="Calibri"/>
          <w:b/>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L’engagement de la Direction est valable pour une durée déterminée pour la période du 1</w:t>
      </w:r>
      <w:r>
        <w:rPr>
          <w:rFonts w:eastAsia="Calibri" w:cs="Calibri" w:ascii="Calibri" w:hAnsi="Calibri"/>
          <w:color w:val="000000"/>
          <w:sz w:val="20"/>
          <w:szCs w:val="20"/>
          <w:vertAlign w:val="superscript"/>
        </w:rPr>
        <w:t>er</w:t>
      </w:r>
      <w:r>
        <w:rPr>
          <w:rFonts w:eastAsia="Calibri" w:cs="Calibri" w:ascii="Calibri" w:hAnsi="Calibri"/>
          <w:color w:val="000000"/>
          <w:sz w:val="20"/>
          <w:szCs w:val="20"/>
        </w:rPr>
        <w:t xml:space="preserve"> mars 2022 au 28 février 2023, sauf disposition particulière prévue dans ce procès-verbal.</w:t>
      </w:r>
    </w:p>
    <w:p>
      <w:pPr>
        <w:pStyle w:val="Paragraphedeliste"/>
        <w:tabs>
          <w:tab w:val="left" w:pos="284" w:leader="none"/>
        </w:tabs>
        <w:ind w:left="0" w:right="-238" w:hanging="0"/>
        <w:jc w:val="both"/>
        <w:rPr>
          <w:rFonts w:ascii="Calibri" w:hAnsi="Calibri" w:eastAsia="Calibri" w:cs="Calibri"/>
          <w:b/>
          <w:b/>
          <w:color w:val="000000"/>
          <w:sz w:val="20"/>
          <w:szCs w:val="20"/>
        </w:rPr>
      </w:pPr>
      <w:r>
        <w:rPr>
          <w:rFonts w:eastAsia="Calibri" w:cs="Calibri"/>
          <w:b/>
          <w:color w:val="000000"/>
          <w:sz w:val="20"/>
          <w:szCs w:val="20"/>
        </w:rPr>
      </w:r>
    </w:p>
    <w:p>
      <w:pPr>
        <w:pStyle w:val="Normal"/>
        <w:shd w:fill="7030A0" w:val="clear"/>
        <w:ind w:left="-426" w:right="-238" w:hanging="0"/>
        <w:jc w:val="both"/>
        <w:rPr>
          <w:rFonts w:ascii="Calibri" w:hAnsi="Calibri" w:cs="Calibri"/>
          <w:b/>
          <w:b/>
          <w:color w:val="FFFFFF"/>
          <w:sz w:val="20"/>
          <w:szCs w:val="20"/>
        </w:rPr>
      </w:pPr>
      <w:r>
        <w:rPr>
          <w:rFonts w:cs="Calibri" w:ascii="Calibri" w:hAnsi="Calibri"/>
          <w:b/>
          <w:color w:val="FFFFFF"/>
          <w:sz w:val="20"/>
          <w:szCs w:val="20"/>
        </w:rPr>
        <w:t>ARTICLE 14 – DEPÔT ET PUBLICITE</w:t>
      </w:r>
    </w:p>
    <w:p>
      <w:pPr>
        <w:pStyle w:val="Normal"/>
        <w:ind w:left="-426" w:right="-238" w:hanging="0"/>
        <w:jc w:val="both"/>
        <w:rPr>
          <w:rFonts w:ascii="Calibri" w:hAnsi="Calibri" w:cs="Calibri"/>
          <w:b/>
          <w:b/>
          <w:smallCaps/>
          <w:color w:val="FFFFFF"/>
          <w:sz w:val="20"/>
          <w:szCs w:val="20"/>
          <w:u w:val="single"/>
        </w:rPr>
      </w:pPr>
      <w:r>
        <w:rPr>
          <w:rFonts w:cs="Calibri" w:ascii="Calibri" w:hAnsi="Calibri"/>
          <w:b/>
          <w:smallCaps/>
          <w:color w:val="FFFFFF"/>
          <w:sz w:val="20"/>
          <w:szCs w:val="20"/>
          <w:u w:val="single"/>
        </w:rPr>
      </w:r>
    </w:p>
    <w:p>
      <w:pPr>
        <w:pStyle w:val="Normal"/>
        <w:ind w:left="-426" w:right="-238" w:hanging="0"/>
        <w:jc w:val="both"/>
        <w:rPr/>
      </w:pPr>
      <w:r>
        <w:rPr>
          <w:rFonts w:eastAsia="Calibri" w:cs="Calibri" w:ascii="Calibri" w:hAnsi="Calibri"/>
          <w:color w:val="000000"/>
          <w:sz w:val="20"/>
          <w:szCs w:val="20"/>
        </w:rPr>
        <w:t>La société déposera le présent procès-verbal d’accord ainsi que ses annexes éventuelles auprès de l’unité territoriale de la Direction Régionale des Entreprises, de la Concurrence, de la Consommation, du Travail et de l’Emploi (Direccte) du lieu de conclusion de l’accord, dans les conditions de formes et de délais prévus par les textes en vigueur.</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Un exemplaire du présent accord sera également déposé auprès du secrétariat-greffe du conseil de prud’hommes du lieu de sa conclusion.</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Un exemplaire sera également remis à chaque Organisation Syndicale signataire et un exemplaire sera conservé par la Direction.</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L’accord sera affiché au sein de la Société sur les panneaux réservés à cet effet.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pPr>
      <w:r>
        <w:rPr>
          <w:rFonts w:eastAsia="Calibri" w:cs="Calibri" w:ascii="Calibri" w:hAnsi="Calibri"/>
          <w:color w:val="000000"/>
          <w:sz w:val="20"/>
          <w:szCs w:val="20"/>
        </w:rPr>
        <w:t>Enfin, conformément à l’article 4 de l’accord national du 15 septembre 2005 portant création de l’Observatoire Paritaire de la Négociation Collective, étendu par arrêté du 23 mars 2006, publié le 7 avril 2006, le présent accord sera également transmis à Syntec.</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cs="Calibri"/>
          <w:sz w:val="20"/>
          <w:szCs w:val="20"/>
        </w:rPr>
      </w:pPr>
      <w:r>
        <w:rPr>
          <w:rFonts w:cs="Calibri" w:ascii="Calibri" w:hAnsi="Calibri"/>
          <w:sz w:val="20"/>
          <w:szCs w:val="20"/>
        </w:rPr>
        <w:t>Fait à Paris La Défense, le 1</w:t>
      </w:r>
      <w:r>
        <w:rPr>
          <w:rFonts w:cs="Calibri" w:ascii="Calibri" w:hAnsi="Calibri"/>
          <w:sz w:val="20"/>
          <w:szCs w:val="20"/>
          <w:vertAlign w:val="superscript"/>
        </w:rPr>
        <w:t>er</w:t>
      </w:r>
      <w:r>
        <w:rPr>
          <w:rFonts w:cs="Calibri" w:ascii="Calibri" w:hAnsi="Calibri"/>
          <w:sz w:val="20"/>
          <w:szCs w:val="20"/>
        </w:rPr>
        <w:t xml:space="preserve"> avril 2022</w:t>
      </w:r>
    </w:p>
    <w:p>
      <w:pPr>
        <w:pStyle w:val="Normal"/>
        <w:ind w:left="-426" w:right="-238" w:hanging="0"/>
        <w:jc w:val="both"/>
        <w:rPr>
          <w:rFonts w:ascii="Calibri" w:hAnsi="Calibri" w:cs="Calibri"/>
          <w:sz w:val="20"/>
          <w:szCs w:val="20"/>
        </w:rPr>
      </w:pPr>
      <w:r>
        <w:rPr>
          <w:rFonts w:cs="Calibri" w:ascii="Calibri" w:hAnsi="Calibri"/>
          <w:sz w:val="20"/>
          <w:szCs w:val="20"/>
        </w:rPr>
        <w:t>En 7 exemplaires originaux</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bookmarkStart w:id="52" w:name="_Hlk863366"/>
      <w:bookmarkStart w:id="53" w:name="_Hlk97545872"/>
      <w:r>
        <w:rPr>
          <w:rFonts w:eastAsia="Calibri" w:cs="Calibri" w:ascii="Calibri" w:hAnsi="Calibri"/>
          <w:color w:val="000000"/>
          <w:sz w:val="20"/>
          <w:szCs w:val="20"/>
        </w:rPr>
        <w:t>Pour les Sociétés BearingPoint France, Hypercube Research et Arcwide France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______________________________</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XXX</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Directrice des Ressources Humaines</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Pour les Organisations Syndicales représentatives :</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______________________________</w:t>
        <w:tab/>
        <w:tab/>
        <w:tab/>
        <w:tab/>
        <w:t>______________________________</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 xml:space="preserve">Organisation Syndicale CFE-CGC </w:t>
        <w:tab/>
        <w:tab/>
        <w:tab/>
        <w:tab/>
        <w:t>Organisation Syndicale CFTC</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représentée par XXX</w:t>
        <w:tab/>
        <w:tab/>
        <w:tab/>
        <w:tab/>
        <w:tab/>
        <w:tab/>
        <w:t>représentée par XXX</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Délégué Syndical</w:t>
        <w:tab/>
        <w:tab/>
        <w:tab/>
        <w:tab/>
        <w:tab/>
        <w:tab/>
        <w:t>Délégué Syndical</w:t>
        <w:tab/>
        <w:tab/>
        <w:tab/>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____________________________</w:t>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Organisation syndicale FO</w:t>
        <w:tab/>
        <w:tab/>
        <w:tab/>
        <w:tab/>
        <w:tab/>
      </w:r>
    </w:p>
    <w:p>
      <w:pPr>
        <w:pStyle w:val="Normal"/>
        <w:ind w:left="-426" w:right="-238" w:hanging="0"/>
        <w:jc w:val="both"/>
        <w:rPr>
          <w:rFonts w:ascii="Calibri" w:hAnsi="Calibri" w:eastAsia="Calibri" w:cs="Calibri"/>
          <w:color w:val="000000"/>
          <w:sz w:val="20"/>
          <w:szCs w:val="20"/>
        </w:rPr>
      </w:pPr>
      <w:r>
        <w:rPr>
          <w:rFonts w:eastAsia="Calibri" w:cs="Calibri" w:ascii="Calibri" w:hAnsi="Calibri"/>
          <w:color w:val="000000"/>
          <w:sz w:val="20"/>
          <w:szCs w:val="20"/>
        </w:rPr>
        <w:t>représentée par XXX</w:t>
      </w:r>
    </w:p>
    <w:p>
      <w:pPr>
        <w:pStyle w:val="Normal"/>
        <w:ind w:left="-426" w:right="-238" w:hanging="0"/>
        <w:jc w:val="both"/>
        <w:rPr/>
      </w:pPr>
      <w:bookmarkStart w:id="54" w:name="_Hlk97545872"/>
      <w:r>
        <w:rPr>
          <w:rFonts w:eastAsia="Calibri" w:cs="Calibri" w:ascii="Calibri" w:hAnsi="Calibri"/>
          <w:color w:val="000000"/>
          <w:sz w:val="20"/>
          <w:szCs w:val="20"/>
        </w:rPr>
        <w:t>Délégué Syndical</w:t>
        <w:tab/>
        <w:tab/>
      </w:r>
      <w:bookmarkEnd w:id="54"/>
      <w:bookmarkEnd w:id="52"/>
      <w:r>
        <w:rPr>
          <w:rFonts w:eastAsia="Calibri" w:cs="Calibri" w:ascii="Calibri" w:hAnsi="Calibri"/>
          <w:color w:val="000000"/>
          <w:sz w:val="20"/>
          <w:szCs w:val="20"/>
        </w:rPr>
        <w:tab/>
      </w:r>
    </w:p>
    <w:sectPr>
      <w:headerReference w:type="default" r:id="rId27"/>
      <w:headerReference w:type="first" r:id="rId28"/>
      <w:footerReference w:type="default" r:id="rId29"/>
      <w:footerReference w:type="first" r:id="rId30"/>
      <w:type w:val="nextPage"/>
      <w:pgSz w:w="11906" w:h="16838"/>
      <w:pgMar w:left="1797" w:right="1416" w:header="709" w:top="1440" w:footer="482" w:bottom="851"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0"/>
    <w:family w:val="modern"/>
    <w:pitch w:val="default"/>
  </w:font>
  <w:font w:name="Wingdings">
    <w:charset w:val="02"/>
    <w:family w:val="auto"/>
    <w:pitch w:val="variable"/>
  </w:font>
  <w:font w:name="Calibri">
    <w:charset w:val="00"/>
    <w:family w:val="swiss"/>
    <w:pitch w:val="variable"/>
  </w:font>
  <w:font w:name="Cambria">
    <w:charset w:val="00"/>
    <w:family w:val="roman"/>
    <w:pitch w:val="variable"/>
  </w:font>
  <w:font w:name="Verdana">
    <w:charset w:val="00"/>
    <w:family w:val="swiss"/>
    <w:pitch w:val="variable"/>
  </w:font>
  <w:font w:name="Tahoma">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left="-426" w:right="-238" w:hanging="0"/>
      <w:rPr>
        <w:rFonts w:ascii="Calibri" w:hAnsi="Calibri" w:cs="Calibri"/>
        <w:sz w:val="17"/>
        <w:szCs w:val="17"/>
      </w:rPr>
    </w:pPr>
    <w:r>
      <w:rPr>
        <w:rFonts w:cs="Calibri" w:ascii="Calibri" w:hAnsi="Calibri"/>
        <w:i/>
        <w:iCs/>
        <w:sz w:val="17"/>
        <w:szCs w:val="17"/>
      </w:rPr>
      <w:tab/>
      <w:tab/>
    </w:r>
  </w:p>
  <w:p>
    <w:pPr>
      <w:pStyle w:val="Footer"/>
      <w:ind w:left="-284" w:right="-483" w:hanging="0"/>
      <w:rPr>
        <w:rFonts w:ascii="Calibri" w:hAnsi="Calibri" w:cs="Calibri"/>
        <w:bCs/>
        <w:sz w:val="16"/>
      </w:rPr>
    </w:pPr>
    <w:r>
      <w:rPr>
        <w:rFonts w:cs="Calibri" w:ascii="Calibri" w:hAnsi="Calibri"/>
        <w:bCs/>
        <w:sz w:val="16"/>
      </w:rPr>
      <w:tab/>
      <w:tab/>
      <w:tab/>
      <w:tab/>
      <w:t xml:space="preserve">           </w:t>
    </w:r>
    <w:r>
      <w:rPr>
        <w:rFonts w:cs="Calibri" w:ascii="Calibri" w:hAnsi="Calibri"/>
        <w:bCs/>
        <w:sz w:val="16"/>
      </w:rPr>
      <w:fldChar w:fldCharType="begin"/>
    </w:r>
    <w:r>
      <w:instrText> PAGE </w:instrText>
    </w:r>
    <w:r>
      <w:fldChar w:fldCharType="separate"/>
    </w:r>
    <w:r>
      <w:t>39</w:t>
    </w:r>
    <w:r>
      <w:fldChar w:fldCharType="end"/>
    </w:r>
    <w:r>
      <w:rPr>
        <w:rFonts w:cs="Calibri" w:ascii="Calibri" w:hAnsi="Calibri"/>
        <w:sz w:val="16"/>
      </w:rPr>
      <w:t xml:space="preserve"> / </w:t>
    </w:r>
    <w:r>
      <w:rPr>
        <w:rFonts w:cs="Calibri" w:ascii="Calibri" w:hAnsi="Calibri"/>
        <w:bCs/>
        <w:sz w:val="16"/>
      </w:rPr>
      <w:fldChar w:fldCharType="begin"/>
    </w:r>
    <w:r>
      <w:instrText> NUMPAGES \* ARABIC </w:instrText>
    </w:r>
    <w:r>
      <w:fldChar w:fldCharType="separate"/>
    </w:r>
    <w:r>
      <w:t>39</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left="-284" w:hanging="0"/>
      <w:rPr/>
    </w:pPr>
    <w:bookmarkStart w:id="55" w:name="_Hlk67564403"/>
    <w:r>
      <w:rPr>
        <w:lang w:val="en-GB" w:eastAsia="en-GB"/>
      </w:rPr>
      <w:drawing>
        <wp:inline distT="0" distB="0" distL="0" distR="0">
          <wp:extent cx="1007745" cy="160020"/>
          <wp:effectExtent l="0" t="0" r="0" b="0"/>
          <wp:docPr id="28"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descr=""/>
                  <pic:cNvPicPr>
                    <a:picLocks noChangeAspect="1" noChangeArrowheads="1"/>
                  </pic:cNvPicPr>
                </pic:nvPicPr>
                <pic:blipFill>
                  <a:blip r:embed="rId1"/>
                  <a:srcRect l="-9" t="-59" r="-9" b="-59"/>
                  <a:stretch>
                    <a:fillRect/>
                  </a:stretch>
                </pic:blipFill>
                <pic:spPr bwMode="auto">
                  <a:xfrm>
                    <a:off x="0" y="0"/>
                    <a:ext cx="1007745" cy="160020"/>
                  </a:xfrm>
                  <a:prstGeom prst="rect">
                    <a:avLst/>
                  </a:prstGeom>
                </pic:spPr>
              </pic:pic>
            </a:graphicData>
          </a:graphic>
        </wp:inline>
      </w:drawing>
    </w:r>
    <w:bookmarkEnd w:id="55"/>
    <w:r>
      <w:rPr>
        <w:lang w:val="en-GB" w:eastAsia="en-GB"/>
      </w:rPr>
      <w:tab/>
      <w:tab/>
      <w:tab/>
      <w:tab/>
      <w:tab/>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left="-426" w:hanging="0"/>
      <w:rPr/>
    </w:pPr>
    <w:r>
      <w:rPr>
        <w:lang w:val="en-GB" w:eastAsia="en-GB"/>
      </w:rPr>
      <w:drawing>
        <wp:inline distT="0" distB="0" distL="0" distR="0">
          <wp:extent cx="1374140" cy="218440"/>
          <wp:effectExtent l="0" t="0" r="0" b="0"/>
          <wp:docPr id="2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
                  <pic:cNvPicPr>
                    <a:picLocks noChangeAspect="1" noChangeArrowheads="1"/>
                  </pic:cNvPicPr>
                </pic:nvPicPr>
                <pic:blipFill>
                  <a:blip r:embed="rId1"/>
                  <a:srcRect l="-9" t="-59" r="-9" b="-59"/>
                  <a:stretch>
                    <a:fillRect/>
                  </a:stretch>
                </pic:blipFill>
                <pic:spPr bwMode="auto">
                  <a:xfrm>
                    <a:off x="0" y="0"/>
                    <a:ext cx="1374140" cy="218440"/>
                  </a:xfrm>
                  <a:prstGeom prst="rect">
                    <a:avLst/>
                  </a:prstGeom>
                </pic:spPr>
              </pic:pic>
            </a:graphicData>
          </a:graphic>
        </wp:inline>
      </w:drawing>
    </w:r>
    <w:r>
      <w:rPr>
        <w:lang w:val="en-GB" w:eastAsia="en-GB"/>
      </w:rPr>
      <w:tab/>
      <w:tab/>
      <w:tab/>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643"/>
        </w:tabs>
        <w:ind w:left="643" w:hanging="360"/>
      </w:pPr>
      <w:rPr>
        <w:rFonts w:ascii="Symbol" w:hAnsi="Symbol" w:cs="Symbol" w:hint="default"/>
        <w:rFonts w:cs="Symbol"/>
      </w:rPr>
    </w:lvl>
  </w:abstractNum>
  <w:abstractNum w:abstractNumId="3">
    <w:lvl w:ilvl="0">
      <w:start w:val="17"/>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Times New Roman"/>
      </w:rPr>
    </w:lvl>
    <w:lvl w:ilvl="2">
      <w:start w:val="1"/>
      <w:numFmt w:val="decimal"/>
      <w:lvlText w:val="%3."/>
      <w:lvlJc w:val="left"/>
      <w:pPr>
        <w:tabs>
          <w:tab w:val="num" w:pos="2160"/>
        </w:tabs>
        <w:ind w:left="2160" w:hanging="360"/>
      </w:pPr>
      <w:rPr>
        <w:sz w:val="20"/>
        <w:szCs w:val="20"/>
        <w:rFonts w:ascii="Calibri" w:hAnsi="Calibri" w:cs="Calibri"/>
      </w:rPr>
    </w:lvl>
    <w:lvl w:ilvl="3">
      <w:start w:val="1"/>
      <w:numFmt w:val="decimal"/>
      <w:lvlText w:val="%4."/>
      <w:lvlJc w:val="left"/>
      <w:pPr>
        <w:tabs>
          <w:tab w:val="num" w:pos="2880"/>
        </w:tabs>
        <w:ind w:left="2880" w:hanging="360"/>
      </w:pPr>
      <w:rPr>
        <w:sz w:val="20"/>
        <w:szCs w:val="20"/>
        <w:rFonts w:ascii="Calibri" w:hAnsi="Calibri" w:cs="Calibri"/>
      </w:rPr>
    </w:lvl>
    <w:lvl w:ilvl="4">
      <w:start w:val="1"/>
      <w:numFmt w:val="decimal"/>
      <w:lvlText w:val="%5."/>
      <w:lvlJc w:val="left"/>
      <w:pPr>
        <w:tabs>
          <w:tab w:val="num" w:pos="3600"/>
        </w:tabs>
        <w:ind w:left="3600" w:hanging="360"/>
      </w:pPr>
      <w:rPr>
        <w:sz w:val="20"/>
        <w:szCs w:val="20"/>
        <w:rFonts w:ascii="Calibri" w:hAnsi="Calibri" w:cs="Calibri"/>
      </w:rPr>
    </w:lvl>
    <w:lvl w:ilvl="5">
      <w:start w:val="1"/>
      <w:numFmt w:val="decimal"/>
      <w:lvlText w:val="%6."/>
      <w:lvlJc w:val="left"/>
      <w:pPr>
        <w:tabs>
          <w:tab w:val="num" w:pos="4320"/>
        </w:tabs>
        <w:ind w:left="4320" w:hanging="360"/>
      </w:pPr>
      <w:rPr>
        <w:sz w:val="20"/>
        <w:szCs w:val="20"/>
        <w:rFonts w:ascii="Calibri" w:hAnsi="Calibri" w:cs="Calibri"/>
      </w:rPr>
    </w:lvl>
    <w:lvl w:ilvl="6">
      <w:start w:val="1"/>
      <w:numFmt w:val="decimal"/>
      <w:lvlText w:val="%7."/>
      <w:lvlJc w:val="left"/>
      <w:pPr>
        <w:tabs>
          <w:tab w:val="num" w:pos="5040"/>
        </w:tabs>
        <w:ind w:left="5040" w:hanging="360"/>
      </w:pPr>
      <w:rPr>
        <w:sz w:val="20"/>
        <w:szCs w:val="20"/>
        <w:rFonts w:ascii="Calibri" w:hAnsi="Calibri" w:cs="Calibri"/>
      </w:rPr>
    </w:lvl>
    <w:lvl w:ilvl="7">
      <w:start w:val="1"/>
      <w:numFmt w:val="decimal"/>
      <w:lvlText w:val="%8."/>
      <w:lvlJc w:val="left"/>
      <w:pPr>
        <w:tabs>
          <w:tab w:val="num" w:pos="5760"/>
        </w:tabs>
        <w:ind w:left="5760" w:hanging="360"/>
      </w:pPr>
      <w:rPr>
        <w:sz w:val="20"/>
        <w:szCs w:val="20"/>
        <w:rFonts w:ascii="Calibri" w:hAnsi="Calibri" w:cs="Calibri"/>
      </w:rPr>
    </w:lvl>
    <w:lvl w:ilvl="8">
      <w:start w:val="1"/>
      <w:numFmt w:val="decimal"/>
      <w:lvlText w:val="%9."/>
      <w:lvlJc w:val="left"/>
      <w:pPr>
        <w:tabs>
          <w:tab w:val="num" w:pos="6480"/>
        </w:tabs>
        <w:ind w:left="6480" w:hanging="360"/>
      </w:pPr>
      <w:rPr>
        <w:sz w:val="20"/>
        <w:szCs w:val="20"/>
        <w:rFonts w:ascii="Calibri" w:hAnsi="Calibri" w:cs="Calibri"/>
      </w:rPr>
    </w:lvl>
  </w:abstractNum>
  <w:abstractNum w:abstractNumId="4">
    <w:lvl w:ilvl="0">
      <w:start w:val="17"/>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Times New Roman"/>
      </w:rPr>
    </w:lvl>
    <w:lvl w:ilvl="2">
      <w:start w:val="1"/>
      <w:numFmt w:val="decimal"/>
      <w:lvlText w:val="%3."/>
      <w:lvlJc w:val="left"/>
      <w:pPr>
        <w:tabs>
          <w:tab w:val="num" w:pos="2160"/>
        </w:tabs>
        <w:ind w:left="2160" w:hanging="360"/>
      </w:pPr>
      <w:rPr>
        <w:sz w:val="20"/>
        <w:szCs w:val="20"/>
        <w:rFonts w:ascii="Calibri" w:hAnsi="Calibri" w:cs="Calibri"/>
      </w:rPr>
    </w:lvl>
    <w:lvl w:ilvl="3">
      <w:start w:val="1"/>
      <w:numFmt w:val="decimal"/>
      <w:lvlText w:val="%4."/>
      <w:lvlJc w:val="left"/>
      <w:pPr>
        <w:tabs>
          <w:tab w:val="num" w:pos="2880"/>
        </w:tabs>
        <w:ind w:left="2880" w:hanging="360"/>
      </w:pPr>
      <w:rPr>
        <w:sz w:val="20"/>
        <w:szCs w:val="20"/>
        <w:rFonts w:ascii="Calibri" w:hAnsi="Calibri" w:cs="Calibri"/>
      </w:rPr>
    </w:lvl>
    <w:lvl w:ilvl="4">
      <w:start w:val="1"/>
      <w:numFmt w:val="decimal"/>
      <w:lvlText w:val="%5."/>
      <w:lvlJc w:val="left"/>
      <w:pPr>
        <w:tabs>
          <w:tab w:val="num" w:pos="3600"/>
        </w:tabs>
        <w:ind w:left="3600" w:hanging="360"/>
      </w:pPr>
      <w:rPr>
        <w:sz w:val="20"/>
        <w:szCs w:val="20"/>
        <w:rFonts w:ascii="Calibri" w:hAnsi="Calibri" w:cs="Calibri"/>
      </w:rPr>
    </w:lvl>
    <w:lvl w:ilvl="5">
      <w:start w:val="1"/>
      <w:numFmt w:val="decimal"/>
      <w:lvlText w:val="%6."/>
      <w:lvlJc w:val="left"/>
      <w:pPr>
        <w:tabs>
          <w:tab w:val="num" w:pos="4320"/>
        </w:tabs>
        <w:ind w:left="4320" w:hanging="360"/>
      </w:pPr>
      <w:rPr>
        <w:sz w:val="20"/>
        <w:szCs w:val="20"/>
        <w:rFonts w:ascii="Calibri" w:hAnsi="Calibri" w:cs="Calibri"/>
      </w:rPr>
    </w:lvl>
    <w:lvl w:ilvl="6">
      <w:start w:val="1"/>
      <w:numFmt w:val="decimal"/>
      <w:lvlText w:val="%7."/>
      <w:lvlJc w:val="left"/>
      <w:pPr>
        <w:tabs>
          <w:tab w:val="num" w:pos="5040"/>
        </w:tabs>
        <w:ind w:left="5040" w:hanging="360"/>
      </w:pPr>
      <w:rPr>
        <w:sz w:val="20"/>
        <w:szCs w:val="20"/>
        <w:rFonts w:ascii="Calibri" w:hAnsi="Calibri" w:cs="Calibri"/>
      </w:rPr>
    </w:lvl>
    <w:lvl w:ilvl="7">
      <w:start w:val="1"/>
      <w:numFmt w:val="decimal"/>
      <w:lvlText w:val="%8."/>
      <w:lvlJc w:val="left"/>
      <w:pPr>
        <w:tabs>
          <w:tab w:val="num" w:pos="5760"/>
        </w:tabs>
        <w:ind w:left="5760" w:hanging="360"/>
      </w:pPr>
      <w:rPr>
        <w:sz w:val="20"/>
        <w:szCs w:val="20"/>
        <w:rFonts w:ascii="Calibri" w:hAnsi="Calibri" w:cs="Calibri"/>
      </w:rPr>
    </w:lvl>
    <w:lvl w:ilvl="8">
      <w:start w:val="1"/>
      <w:numFmt w:val="decimal"/>
      <w:lvlText w:val="%9."/>
      <w:lvlJc w:val="left"/>
      <w:pPr>
        <w:tabs>
          <w:tab w:val="num" w:pos="6480"/>
        </w:tabs>
        <w:ind w:left="6480" w:hanging="360"/>
      </w:pPr>
      <w:rPr>
        <w:sz w:val="20"/>
        <w:szCs w:val="20"/>
        <w:rFonts w:ascii="Calibri" w:hAnsi="Calibri" w:cs="Calibri"/>
      </w:rPr>
    </w:lvl>
  </w:abstractNum>
  <w:abstractNum w:abstractNumId="5">
    <w:lvl w:ilvl="0">
      <w:numFmt w:val="bullet"/>
      <w:lvlText w:val="-"/>
      <w:lvlJc w:val="left"/>
      <w:pPr>
        <w:ind w:left="66" w:hanging="360"/>
      </w:pPr>
      <w:rPr>
        <w:rFonts w:ascii="Calibri" w:hAnsi="Calibri" w:cs="Calibri" w:hint="default"/>
        <w:sz w:val="20"/>
        <w:szCs w:val="20"/>
        <w:rFonts w:cs="Times New Roman"/>
        <w:color w:val="000000"/>
      </w:rPr>
    </w:lvl>
    <w:lvl w:ilvl="1">
      <w:start w:val="1"/>
      <w:numFmt w:val="bullet"/>
      <w:lvlText w:val="o"/>
      <w:lvlJc w:val="left"/>
      <w:pPr>
        <w:ind w:left="654" w:hanging="360"/>
      </w:pPr>
      <w:rPr>
        <w:rFonts w:ascii="Courier New" w:hAnsi="Courier New" w:cs="Courier New" w:hint="default"/>
        <w:sz w:val="20"/>
        <w:szCs w:val="20"/>
        <w:rFonts w:cs="Courier New"/>
        <w:color w:val="000000"/>
      </w:rPr>
    </w:lvl>
    <w:lvl w:ilvl="2">
      <w:start w:val="1"/>
      <w:numFmt w:val="bullet"/>
      <w:lvlText w:val=""/>
      <w:lvlJc w:val="left"/>
      <w:pPr>
        <w:ind w:left="1374" w:hanging="360"/>
      </w:pPr>
      <w:rPr>
        <w:rFonts w:ascii="Wingdings" w:hAnsi="Wingdings" w:cs="Wingdings" w:hint="default"/>
        <w:rFonts w:cs="Wingdings"/>
      </w:rPr>
    </w:lvl>
    <w:lvl w:ilvl="3">
      <w:start w:val="1"/>
      <w:numFmt w:val="bullet"/>
      <w:lvlText w:val=""/>
      <w:lvlJc w:val="left"/>
      <w:pPr>
        <w:ind w:left="2094" w:hanging="360"/>
      </w:pPr>
      <w:rPr>
        <w:rFonts w:ascii="Symbol" w:hAnsi="Symbol" w:cs="Symbol" w:hint="default"/>
        <w:rFonts w:cs="Symbol"/>
      </w:rPr>
    </w:lvl>
    <w:lvl w:ilvl="4">
      <w:start w:val="1"/>
      <w:numFmt w:val="bullet"/>
      <w:lvlText w:val="o"/>
      <w:lvlJc w:val="left"/>
      <w:pPr>
        <w:ind w:left="2814" w:hanging="360"/>
      </w:pPr>
      <w:rPr>
        <w:rFonts w:ascii="Courier New" w:hAnsi="Courier New" w:cs="Courier New" w:hint="default"/>
        <w:sz w:val="20"/>
        <w:szCs w:val="20"/>
        <w:rFonts w:cs="Courier New"/>
        <w:color w:val="000000"/>
      </w:rPr>
    </w:lvl>
    <w:lvl w:ilvl="5">
      <w:start w:val="1"/>
      <w:numFmt w:val="bullet"/>
      <w:lvlText w:val=""/>
      <w:lvlJc w:val="left"/>
      <w:pPr>
        <w:ind w:left="3534" w:hanging="360"/>
      </w:pPr>
      <w:rPr>
        <w:rFonts w:ascii="Wingdings" w:hAnsi="Wingdings" w:cs="Wingdings" w:hint="default"/>
        <w:rFonts w:cs="Wingdings"/>
      </w:rPr>
    </w:lvl>
    <w:lvl w:ilvl="6">
      <w:start w:val="1"/>
      <w:numFmt w:val="bullet"/>
      <w:lvlText w:val=""/>
      <w:lvlJc w:val="left"/>
      <w:pPr>
        <w:ind w:left="4254" w:hanging="360"/>
      </w:pPr>
      <w:rPr>
        <w:rFonts w:ascii="Symbol" w:hAnsi="Symbol" w:cs="Symbol" w:hint="default"/>
        <w:rFonts w:cs="Symbol"/>
      </w:rPr>
    </w:lvl>
    <w:lvl w:ilvl="7">
      <w:start w:val="1"/>
      <w:numFmt w:val="bullet"/>
      <w:lvlText w:val="o"/>
      <w:lvlJc w:val="left"/>
      <w:pPr>
        <w:ind w:left="4974" w:hanging="360"/>
      </w:pPr>
      <w:rPr>
        <w:rFonts w:ascii="Courier New" w:hAnsi="Courier New" w:cs="Courier New" w:hint="default"/>
        <w:sz w:val="20"/>
        <w:szCs w:val="20"/>
        <w:rFonts w:cs="Courier New"/>
        <w:color w:val="000000"/>
      </w:rPr>
    </w:lvl>
    <w:lvl w:ilvl="8">
      <w:start w:val="1"/>
      <w:numFmt w:val="bullet"/>
      <w:lvlText w:val=""/>
      <w:lvlJc w:val="left"/>
      <w:pPr>
        <w:ind w:left="5694" w:hanging="360"/>
      </w:pPr>
      <w:rPr>
        <w:rFonts w:ascii="Wingdings" w:hAnsi="Wingdings" w:cs="Wingdings" w:hint="default"/>
        <w:rFonts w:cs="Wingdings"/>
      </w:rPr>
    </w:lvl>
  </w:abstractNum>
  <w:abstractNum w:abstractNumId="6">
    <w:lvl w:ilvl="0">
      <w:start w:val="17"/>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Times New Roman"/>
      </w:rPr>
    </w:lvl>
    <w:lvl w:ilvl="2">
      <w:start w:val="1"/>
      <w:numFmt w:val="decimal"/>
      <w:lvlText w:val="%3."/>
      <w:lvlJc w:val="left"/>
      <w:pPr>
        <w:tabs>
          <w:tab w:val="num" w:pos="2160"/>
        </w:tabs>
        <w:ind w:left="2160" w:hanging="360"/>
      </w:pPr>
      <w:rPr>
        <w:sz w:val="20"/>
        <w:szCs w:val="20"/>
        <w:rFonts w:ascii="Calibri" w:hAnsi="Calibri" w:cs="Calibri"/>
      </w:rPr>
    </w:lvl>
    <w:lvl w:ilvl="3">
      <w:start w:val="1"/>
      <w:numFmt w:val="decimal"/>
      <w:lvlText w:val="%4."/>
      <w:lvlJc w:val="left"/>
      <w:pPr>
        <w:tabs>
          <w:tab w:val="num" w:pos="2880"/>
        </w:tabs>
        <w:ind w:left="2880" w:hanging="360"/>
      </w:pPr>
      <w:rPr>
        <w:sz w:val="20"/>
        <w:szCs w:val="20"/>
        <w:rFonts w:ascii="Calibri" w:hAnsi="Calibri" w:cs="Calibri"/>
      </w:rPr>
    </w:lvl>
    <w:lvl w:ilvl="4">
      <w:start w:val="1"/>
      <w:numFmt w:val="decimal"/>
      <w:lvlText w:val="%5."/>
      <w:lvlJc w:val="left"/>
      <w:pPr>
        <w:tabs>
          <w:tab w:val="num" w:pos="3600"/>
        </w:tabs>
        <w:ind w:left="3600" w:hanging="360"/>
      </w:pPr>
      <w:rPr>
        <w:sz w:val="20"/>
        <w:szCs w:val="20"/>
        <w:rFonts w:ascii="Calibri" w:hAnsi="Calibri" w:cs="Calibri"/>
      </w:rPr>
    </w:lvl>
    <w:lvl w:ilvl="5">
      <w:start w:val="1"/>
      <w:numFmt w:val="decimal"/>
      <w:lvlText w:val="%6."/>
      <w:lvlJc w:val="left"/>
      <w:pPr>
        <w:tabs>
          <w:tab w:val="num" w:pos="4320"/>
        </w:tabs>
        <w:ind w:left="4320" w:hanging="360"/>
      </w:pPr>
      <w:rPr>
        <w:sz w:val="20"/>
        <w:szCs w:val="20"/>
        <w:rFonts w:ascii="Calibri" w:hAnsi="Calibri" w:cs="Calibri"/>
      </w:rPr>
    </w:lvl>
    <w:lvl w:ilvl="6">
      <w:start w:val="1"/>
      <w:numFmt w:val="decimal"/>
      <w:lvlText w:val="%7."/>
      <w:lvlJc w:val="left"/>
      <w:pPr>
        <w:tabs>
          <w:tab w:val="num" w:pos="5040"/>
        </w:tabs>
        <w:ind w:left="5040" w:hanging="360"/>
      </w:pPr>
      <w:rPr>
        <w:sz w:val="20"/>
        <w:szCs w:val="20"/>
        <w:rFonts w:ascii="Calibri" w:hAnsi="Calibri" w:cs="Calibri"/>
      </w:rPr>
    </w:lvl>
    <w:lvl w:ilvl="7">
      <w:start w:val="1"/>
      <w:numFmt w:val="decimal"/>
      <w:lvlText w:val="%8."/>
      <w:lvlJc w:val="left"/>
      <w:pPr>
        <w:tabs>
          <w:tab w:val="num" w:pos="5760"/>
        </w:tabs>
        <w:ind w:left="5760" w:hanging="360"/>
      </w:pPr>
      <w:rPr>
        <w:sz w:val="20"/>
        <w:szCs w:val="20"/>
        <w:rFonts w:ascii="Calibri" w:hAnsi="Calibri" w:cs="Calibri"/>
      </w:rPr>
    </w:lvl>
    <w:lvl w:ilvl="8">
      <w:start w:val="1"/>
      <w:numFmt w:val="decimal"/>
      <w:lvlText w:val="%9."/>
      <w:lvlJc w:val="left"/>
      <w:pPr>
        <w:tabs>
          <w:tab w:val="num" w:pos="6480"/>
        </w:tabs>
        <w:ind w:left="6480" w:hanging="360"/>
      </w:pPr>
      <w:rPr>
        <w:sz w:val="20"/>
        <w:szCs w:val="20"/>
        <w:rFonts w:ascii="Calibri" w:hAnsi="Calibri" w:cs="Calibri"/>
      </w:rPr>
    </w:lvl>
  </w:abstractNum>
  <w:abstractNum w:abstractNumId="7">
    <w:lvl w:ilvl="0">
      <w:start w:val="1"/>
      <w:numFmt w:val="bullet"/>
      <w:lvlText w:val=""/>
      <w:lvlJc w:val="left"/>
      <w:pPr>
        <w:ind w:left="294" w:hanging="360"/>
      </w:pPr>
      <w:rPr>
        <w:rFonts w:ascii="Symbol" w:hAnsi="Symbol" w:cs="Symbol" w:hint="default"/>
        <w:rFonts w:cs="Symbol"/>
      </w:rPr>
    </w:lvl>
    <w:lvl w:ilvl="1">
      <w:start w:val="1"/>
      <w:numFmt w:val="bullet"/>
      <w:lvlText w:val="o"/>
      <w:lvlJc w:val="left"/>
      <w:pPr>
        <w:ind w:left="1014" w:hanging="360"/>
      </w:pPr>
      <w:rPr>
        <w:rFonts w:ascii="Courier New" w:hAnsi="Courier New" w:cs="Courier New" w:hint="default"/>
        <w:sz w:val="20"/>
        <w:szCs w:val="20"/>
        <w:rFonts w:cs="Courier New"/>
        <w:color w:val="000000"/>
      </w:rPr>
    </w:lvl>
    <w:lvl w:ilvl="2">
      <w:start w:val="1"/>
      <w:numFmt w:val="bullet"/>
      <w:lvlText w:val=""/>
      <w:lvlJc w:val="left"/>
      <w:pPr>
        <w:ind w:left="1734" w:hanging="360"/>
      </w:pPr>
      <w:rPr>
        <w:rFonts w:ascii="Wingdings" w:hAnsi="Wingdings" w:cs="Wingdings" w:hint="default"/>
        <w:rFonts w:cs="Wingdings"/>
      </w:rPr>
    </w:lvl>
    <w:lvl w:ilvl="3">
      <w:start w:val="1"/>
      <w:numFmt w:val="bullet"/>
      <w:lvlText w:val=""/>
      <w:lvlJc w:val="left"/>
      <w:pPr>
        <w:ind w:left="2454" w:hanging="360"/>
      </w:pPr>
      <w:rPr>
        <w:rFonts w:ascii="Symbol" w:hAnsi="Symbol" w:cs="Symbol" w:hint="default"/>
        <w:rFonts w:cs="Symbol"/>
      </w:rPr>
    </w:lvl>
    <w:lvl w:ilvl="4">
      <w:start w:val="1"/>
      <w:numFmt w:val="bullet"/>
      <w:lvlText w:val="o"/>
      <w:lvlJc w:val="left"/>
      <w:pPr>
        <w:ind w:left="3174" w:hanging="360"/>
      </w:pPr>
      <w:rPr>
        <w:rFonts w:ascii="Courier New" w:hAnsi="Courier New" w:cs="Courier New" w:hint="default"/>
        <w:sz w:val="20"/>
        <w:szCs w:val="20"/>
        <w:rFonts w:cs="Courier New"/>
        <w:color w:val="000000"/>
      </w:rPr>
    </w:lvl>
    <w:lvl w:ilvl="5">
      <w:start w:val="1"/>
      <w:numFmt w:val="bullet"/>
      <w:lvlText w:val=""/>
      <w:lvlJc w:val="left"/>
      <w:pPr>
        <w:ind w:left="3894" w:hanging="360"/>
      </w:pPr>
      <w:rPr>
        <w:rFonts w:ascii="Wingdings" w:hAnsi="Wingdings" w:cs="Wingdings" w:hint="default"/>
        <w:rFonts w:cs="Wingdings"/>
      </w:rPr>
    </w:lvl>
    <w:lvl w:ilvl="6">
      <w:start w:val="1"/>
      <w:numFmt w:val="bullet"/>
      <w:lvlText w:val=""/>
      <w:lvlJc w:val="left"/>
      <w:pPr>
        <w:ind w:left="4614" w:hanging="360"/>
      </w:pPr>
      <w:rPr>
        <w:rFonts w:ascii="Symbol" w:hAnsi="Symbol" w:cs="Symbol" w:hint="default"/>
        <w:rFonts w:cs="Symbol"/>
      </w:rPr>
    </w:lvl>
    <w:lvl w:ilvl="7">
      <w:start w:val="1"/>
      <w:numFmt w:val="bullet"/>
      <w:lvlText w:val="o"/>
      <w:lvlJc w:val="left"/>
      <w:pPr>
        <w:ind w:left="5334" w:hanging="360"/>
      </w:pPr>
      <w:rPr>
        <w:rFonts w:ascii="Courier New" w:hAnsi="Courier New" w:cs="Courier New" w:hint="default"/>
        <w:sz w:val="20"/>
        <w:szCs w:val="20"/>
        <w:rFonts w:cs="Courier New"/>
        <w:color w:val="000000"/>
      </w:rPr>
    </w:lvl>
    <w:lvl w:ilvl="8">
      <w:start w:val="1"/>
      <w:numFmt w:val="bullet"/>
      <w:lvlText w:val=""/>
      <w:lvlJc w:val="left"/>
      <w:pPr>
        <w:ind w:left="6054" w:hanging="360"/>
      </w:pPr>
      <w:rPr>
        <w:rFonts w:ascii="Wingdings" w:hAnsi="Wingdings" w:cs="Wingdings" w:hint="default"/>
        <w:rFonts w:cs="Wingdings"/>
      </w:rPr>
    </w:lvl>
  </w:abstractNum>
  <w:abstractNum w:abstractNumId="8">
    <w:lvl w:ilvl="0">
      <w:start w:val="1"/>
      <w:numFmt w:val="bullet"/>
      <w:lvlText w:val=""/>
      <w:lvlJc w:val="left"/>
      <w:pPr>
        <w:ind w:left="294" w:hanging="360"/>
      </w:pPr>
      <w:rPr>
        <w:rFonts w:ascii="Symbol" w:hAnsi="Symbol" w:cs="Symbol" w:hint="default"/>
        <w:sz w:val="21"/>
        <w:szCs w:val="21"/>
        <w:rFonts w:cs="Symbol"/>
        <w:color w:val="000000"/>
      </w:rPr>
    </w:lvl>
  </w:abstractNum>
  <w:abstractNum w:abstractNumId="9">
    <w:lvl w:ilvl="0">
      <w:start w:val="17"/>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Times New Roman"/>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
    <w:lvl w:ilvl="0">
      <w:start w:val="17"/>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Times New Roman"/>
      </w:rPr>
    </w:lvl>
    <w:lvl w:ilvl="2">
      <w:start w:val="1"/>
      <w:numFmt w:val="decimal"/>
      <w:lvlText w:val="%3."/>
      <w:lvlJc w:val="left"/>
      <w:pPr>
        <w:tabs>
          <w:tab w:val="num" w:pos="2160"/>
        </w:tabs>
        <w:ind w:left="2160" w:hanging="360"/>
      </w:pPr>
      <w:rPr>
        <w:sz w:val="20"/>
        <w:szCs w:val="20"/>
        <w:rFonts w:ascii="Calibri" w:hAnsi="Calibri" w:cs="Calibri"/>
      </w:rPr>
    </w:lvl>
    <w:lvl w:ilvl="3">
      <w:start w:val="1"/>
      <w:numFmt w:val="decimal"/>
      <w:lvlText w:val="%4."/>
      <w:lvlJc w:val="left"/>
      <w:pPr>
        <w:tabs>
          <w:tab w:val="num" w:pos="2880"/>
        </w:tabs>
        <w:ind w:left="2880" w:hanging="360"/>
      </w:pPr>
      <w:rPr>
        <w:sz w:val="20"/>
        <w:szCs w:val="20"/>
        <w:rFonts w:ascii="Calibri" w:hAnsi="Calibri" w:cs="Calibri"/>
      </w:rPr>
    </w:lvl>
    <w:lvl w:ilvl="4">
      <w:start w:val="1"/>
      <w:numFmt w:val="decimal"/>
      <w:lvlText w:val="%5."/>
      <w:lvlJc w:val="left"/>
      <w:pPr>
        <w:tabs>
          <w:tab w:val="num" w:pos="3600"/>
        </w:tabs>
        <w:ind w:left="3600" w:hanging="360"/>
      </w:pPr>
      <w:rPr>
        <w:sz w:val="20"/>
        <w:szCs w:val="20"/>
        <w:rFonts w:ascii="Calibri" w:hAnsi="Calibri" w:cs="Calibri"/>
      </w:rPr>
    </w:lvl>
    <w:lvl w:ilvl="5">
      <w:start w:val="1"/>
      <w:numFmt w:val="decimal"/>
      <w:lvlText w:val="%6."/>
      <w:lvlJc w:val="left"/>
      <w:pPr>
        <w:tabs>
          <w:tab w:val="num" w:pos="4320"/>
        </w:tabs>
        <w:ind w:left="4320" w:hanging="360"/>
      </w:pPr>
      <w:rPr>
        <w:sz w:val="20"/>
        <w:szCs w:val="20"/>
        <w:rFonts w:ascii="Calibri" w:hAnsi="Calibri" w:cs="Calibri"/>
      </w:rPr>
    </w:lvl>
    <w:lvl w:ilvl="6">
      <w:start w:val="1"/>
      <w:numFmt w:val="decimal"/>
      <w:lvlText w:val="%7."/>
      <w:lvlJc w:val="left"/>
      <w:pPr>
        <w:tabs>
          <w:tab w:val="num" w:pos="5040"/>
        </w:tabs>
        <w:ind w:left="5040" w:hanging="360"/>
      </w:pPr>
      <w:rPr>
        <w:sz w:val="20"/>
        <w:szCs w:val="20"/>
        <w:rFonts w:ascii="Calibri" w:hAnsi="Calibri" w:cs="Calibri"/>
      </w:rPr>
    </w:lvl>
    <w:lvl w:ilvl="7">
      <w:start w:val="1"/>
      <w:numFmt w:val="decimal"/>
      <w:lvlText w:val="%8."/>
      <w:lvlJc w:val="left"/>
      <w:pPr>
        <w:tabs>
          <w:tab w:val="num" w:pos="5760"/>
        </w:tabs>
        <w:ind w:left="5760" w:hanging="360"/>
      </w:pPr>
      <w:rPr>
        <w:sz w:val="20"/>
        <w:szCs w:val="20"/>
        <w:rFonts w:ascii="Calibri" w:hAnsi="Calibri" w:cs="Calibri"/>
      </w:rPr>
    </w:lvl>
    <w:lvl w:ilvl="8">
      <w:start w:val="1"/>
      <w:numFmt w:val="decimal"/>
      <w:lvlText w:val="%9."/>
      <w:lvlJc w:val="left"/>
      <w:pPr>
        <w:tabs>
          <w:tab w:val="num" w:pos="6480"/>
        </w:tabs>
        <w:ind w:left="6480" w:hanging="360"/>
      </w:pPr>
      <w:rPr>
        <w:sz w:val="20"/>
        <w:szCs w:val="20"/>
        <w:rFonts w:ascii="Calibri" w:hAnsi="Calibri" w:cs="Calibri"/>
      </w:rPr>
    </w:lvl>
  </w:abstractNum>
  <w:abstractNum w:abstractNumId="11">
    <w:lvl w:ilvl="0">
      <w:numFmt w:val="bullet"/>
      <w:lvlText w:val="-"/>
      <w:lvlJc w:val="left"/>
      <w:pPr>
        <w:ind w:left="66" w:hanging="360"/>
      </w:pPr>
      <w:rPr>
        <w:rFonts w:ascii="Calibri" w:hAnsi="Calibri" w:cs="Calibri" w:hint="default"/>
        <w:sz w:val="20"/>
        <w:szCs w:val="20"/>
        <w:rFonts w:cs="Times New Roman"/>
        <w:color w:val="00000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99"/>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szCs w:val="24"/>
        <w:lang w:val="en-GB"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fr-FR" w:bidi="ar-SA" w:eastAsia="zh-CN"/>
    </w:rPr>
  </w:style>
  <w:style w:type="paragraph" w:styleId="Heading1">
    <w:name w:val="Heading 1"/>
    <w:basedOn w:val="Normal"/>
    <w:next w:val="Normal"/>
    <w:qFormat/>
    <w:pPr>
      <w:keepNext w:val="true"/>
      <w:numPr>
        <w:ilvl w:val="0"/>
        <w:numId w:val="1"/>
      </w:numPr>
      <w:jc w:val="both"/>
      <w:outlineLvl w:val="0"/>
    </w:pPr>
    <w:rPr>
      <w:b/>
      <w:bCs/>
      <w:lang w:val="fr-FR"/>
    </w:rPr>
  </w:style>
  <w:style w:type="paragraph" w:styleId="Heading2">
    <w:name w:val="Heading 2"/>
    <w:basedOn w:val="Normal"/>
    <w:next w:val="Normal"/>
    <w:qFormat/>
    <w:pPr>
      <w:keepNext w:val="true"/>
      <w:numPr>
        <w:ilvl w:val="1"/>
        <w:numId w:val="1"/>
      </w:numPr>
      <w:ind w:right="-16" w:hanging="0"/>
      <w:jc w:val="both"/>
      <w:outlineLvl w:val="1"/>
    </w:pPr>
    <w:rPr>
      <w:b/>
      <w:lang w:val="fr-FR"/>
    </w:rPr>
  </w:style>
  <w:style w:type="paragraph" w:styleId="Heading3">
    <w:name w:val="Heading 3"/>
    <w:basedOn w:val="Normal"/>
    <w:next w:val="Normal"/>
    <w:qFormat/>
    <w:pPr>
      <w:keepNext w:val="true"/>
      <w:numPr>
        <w:ilvl w:val="2"/>
        <w:numId w:val="1"/>
      </w:numPr>
      <w:outlineLvl w:val="2"/>
    </w:pPr>
    <w:rPr>
      <w:b/>
      <w:bCs/>
      <w:lang w:val="fr-FR"/>
    </w:rPr>
  </w:style>
  <w:style w:type="character" w:styleId="WW8Num1z0">
    <w:name w:val="WW8Num1z0"/>
    <w:qFormat/>
    <w:rPr>
      <w:rFonts w:ascii="Symbol" w:hAnsi="Symbol" w:cs="Symbol"/>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rFonts w:ascii="Arial" w:hAnsi="Arial" w:cs="Arial"/>
    </w:rPr>
  </w:style>
  <w:style w:type="character" w:styleId="WW8Num4z0">
    <w:name w:val="WW8Num4z0"/>
    <w:qFormat/>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rFonts w:ascii="Courier New" w:hAnsi="Courier New" w:cs="Courier New"/>
    </w:rPr>
  </w:style>
  <w:style w:type="character" w:styleId="WW8Num5z2">
    <w:name w:val="WW8Num5z2"/>
    <w:qFormat/>
    <w:rPr>
      <w:rFonts w:ascii="Wingdings" w:hAnsi="Wingdings" w:cs="Wingdings"/>
    </w:rPr>
  </w:style>
  <w:style w:type="character" w:styleId="WW8Num5z3">
    <w:name w:val="WW8Num5z3"/>
    <w:qFormat/>
    <w:rPr>
      <w:rFonts w:ascii="Symbol" w:hAnsi="Symbol" w:cs="Symbol"/>
    </w:rPr>
  </w:style>
  <w:style w:type="character" w:styleId="WW8Num6z0">
    <w:name w:val="WW8Num6z0"/>
    <w:qFormat/>
    <w:rPr>
      <w:rFonts w:ascii="Symbol" w:hAnsi="Symbol" w:cs="Symbol"/>
      <w:sz w:val="20"/>
    </w:rPr>
  </w:style>
  <w:style w:type="character" w:styleId="WW8Num6z1">
    <w:name w:val="WW8Num6z1"/>
    <w:qFormat/>
    <w:rPr>
      <w:rFonts w:ascii="Courier New" w:hAnsi="Courier New" w:cs="Times New Roman"/>
      <w:sz w:val="20"/>
    </w:rPr>
  </w:style>
  <w:style w:type="character" w:styleId="WW8Num6z2">
    <w:name w:val="WW8Num6z2"/>
    <w:qFormat/>
    <w:rPr/>
  </w:style>
  <w:style w:type="character" w:styleId="WW8Num7z0">
    <w:name w:val="WW8Num7z0"/>
    <w:qFormat/>
    <w:rPr>
      <w:rFonts w:ascii="Symbol" w:hAnsi="Symbol" w:cs="Symbol"/>
      <w:sz w:val="20"/>
    </w:rPr>
  </w:style>
  <w:style w:type="character" w:styleId="WW8Num7z1">
    <w:name w:val="WW8Num7z1"/>
    <w:qFormat/>
    <w:rPr>
      <w:rFonts w:ascii="Courier New" w:hAnsi="Courier New" w:cs="Times New Roman"/>
      <w:sz w:val="20"/>
    </w:rPr>
  </w:style>
  <w:style w:type="character" w:styleId="WW8Num7z2">
    <w:name w:val="WW8Num7z2"/>
    <w:qFormat/>
    <w:rPr>
      <w:rFonts w:ascii="Calibri" w:hAnsi="Calibri" w:cs="Calibri"/>
      <w:sz w:val="20"/>
      <w:szCs w:val="20"/>
    </w:rPr>
  </w:style>
  <w:style w:type="character" w:styleId="WW8Num8z0">
    <w:name w:val="WW8Num8z0"/>
    <w:qFormat/>
    <w:rPr>
      <w:rFonts w:ascii="Symbol" w:hAnsi="Symbol" w:cs="Symbol"/>
      <w:sz w:val="20"/>
    </w:rPr>
  </w:style>
  <w:style w:type="character" w:styleId="WW8Num8z1">
    <w:name w:val="WW8Num8z1"/>
    <w:qFormat/>
    <w:rPr>
      <w:rFonts w:ascii="Courier New" w:hAnsi="Courier New" w:cs="Times New Roman"/>
      <w:sz w:val="20"/>
    </w:rPr>
  </w:style>
  <w:style w:type="character" w:styleId="WW8Num8z2">
    <w:name w:val="WW8Num8z2"/>
    <w:qFormat/>
    <w:rPr/>
  </w:style>
  <w:style w:type="character" w:styleId="WW8Num9z0">
    <w:name w:val="WW8Num9z0"/>
    <w:qFormat/>
    <w:rPr>
      <w:rFonts w:ascii="Cambria" w:hAnsi="Cambria" w:cs="Cambria"/>
    </w:rPr>
  </w:style>
  <w:style w:type="character" w:styleId="WW8Num9z1">
    <w:name w:val="WW8Num9z1"/>
    <w:qFormat/>
    <w:rPr>
      <w:rFonts w:ascii="Arial" w:hAnsi="Arial" w:cs="Arial"/>
    </w:rPr>
  </w:style>
  <w:style w:type="character" w:styleId="WW8Num10z0">
    <w:name w:val="WW8Num10z0"/>
    <w:qFormat/>
    <w:rPr>
      <w:rFonts w:ascii="Symbol" w:hAnsi="Symbol" w:cs="Symbol"/>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1z0">
    <w:name w:val="WW8Num11z0"/>
    <w:qFormat/>
    <w:rPr>
      <w:rFonts w:ascii="Symbol" w:hAnsi="Symbol" w:cs="Symbol"/>
      <w:sz w:val="20"/>
    </w:rPr>
  </w:style>
  <w:style w:type="character" w:styleId="WW8Num11z1">
    <w:name w:val="WW8Num11z1"/>
    <w:qFormat/>
    <w:rPr>
      <w:rFonts w:ascii="Courier New" w:hAnsi="Courier New" w:cs="Courier New"/>
      <w:sz w:val="20"/>
    </w:rPr>
  </w:style>
  <w:style w:type="character" w:styleId="WW8Num11z2">
    <w:name w:val="WW8Num11z2"/>
    <w:qFormat/>
    <w:rPr>
      <w:rFonts w:ascii="Wingdings" w:hAnsi="Wingdings" w:cs="Wingdings"/>
      <w:sz w:val="20"/>
    </w:rPr>
  </w:style>
  <w:style w:type="character" w:styleId="WW8Num12z0">
    <w:name w:val="WW8Num12z0"/>
    <w:qFormat/>
    <w:rPr>
      <w:rFonts w:eastAsia="Times New Roman" w:cs="Times New Roman"/>
      <w:b w:val="false"/>
      <w:u w:val="none"/>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rFonts w:ascii="Calibri" w:hAnsi="Calibri" w:eastAsia="Times New Roman"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6">
    <w:name w:val="WW8Num13z6"/>
    <w:qFormat/>
    <w:rPr>
      <w:rFonts w:ascii="Symbol" w:hAnsi="Symbol" w:cs="Symbol"/>
    </w:rPr>
  </w:style>
  <w:style w:type="character" w:styleId="WW8Num14z0">
    <w:name w:val="WW8Num14z0"/>
    <w:qFormat/>
    <w:rPr>
      <w:rFonts w:ascii="Calibri" w:hAnsi="Calibri" w:eastAsia="Times New Roman" w:cs="Times New Roman"/>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4z3">
    <w:name w:val="WW8Num14z3"/>
    <w:qFormat/>
    <w:rPr>
      <w:rFonts w:ascii="Symbol" w:hAnsi="Symbol" w:cs="Symbol"/>
    </w:rPr>
  </w:style>
  <w:style w:type="character" w:styleId="WW8Num15z0">
    <w:name w:val="WW8Num15z0"/>
    <w:qFormat/>
    <w:rPr>
      <w:rFonts w:ascii="Symbol" w:hAnsi="Symbol" w:cs="Symbol"/>
      <w:sz w:val="20"/>
    </w:rPr>
  </w:style>
  <w:style w:type="character" w:styleId="WW8Num15z1">
    <w:name w:val="WW8Num15z1"/>
    <w:qFormat/>
    <w:rPr>
      <w:rFonts w:ascii="Courier New" w:hAnsi="Courier New" w:cs="Times New Roman"/>
      <w:sz w:val="20"/>
    </w:rPr>
  </w:style>
  <w:style w:type="character" w:styleId="WW8Num15z2">
    <w:name w:val="WW8Num15z2"/>
    <w:qFormat/>
    <w:rPr/>
  </w:style>
  <w:style w:type="character" w:styleId="WW8Num16z0">
    <w:name w:val="WW8Num16z0"/>
    <w:qFormat/>
    <w:rPr>
      <w:rFonts w:ascii="Symbol" w:hAnsi="Symbol" w:cs="Symbol"/>
      <w:sz w:val="20"/>
    </w:rPr>
  </w:style>
  <w:style w:type="character" w:styleId="WW8Num16z1">
    <w:name w:val="WW8Num16z1"/>
    <w:qFormat/>
    <w:rPr>
      <w:rFonts w:ascii="Courier New" w:hAnsi="Courier New" w:cs="Times New Roman"/>
      <w:sz w:val="20"/>
    </w:rPr>
  </w:style>
  <w:style w:type="character" w:styleId="WW8Num16z2">
    <w:name w:val="WW8Num16z2"/>
    <w:qFormat/>
    <w:rPr>
      <w:rFonts w:ascii="Calibri" w:hAnsi="Calibri" w:cs="Calibri"/>
      <w:sz w:val="20"/>
      <w:szCs w:val="20"/>
    </w:rPr>
  </w:style>
  <w:style w:type="character" w:styleId="WW8Num17z0">
    <w:name w:val="WW8Num17z0"/>
    <w:qFormat/>
    <w:rPr/>
  </w:style>
  <w:style w:type="character" w:styleId="WW8Num17z1">
    <w:name w:val="WW8Num17z1"/>
    <w:qFormat/>
    <w:rPr/>
  </w:style>
  <w:style w:type="character" w:styleId="WW8Num17z2">
    <w:name w:val="WW8Num17z2"/>
    <w:qFormat/>
    <w:rPr/>
  </w:style>
  <w:style w:type="character" w:styleId="WW8Num17z3">
    <w:name w:val="WW8Num17z3"/>
    <w:qFormat/>
    <w:rPr/>
  </w:style>
  <w:style w:type="character" w:styleId="WW8Num17z4">
    <w:name w:val="WW8Num17z4"/>
    <w:qFormat/>
    <w:rPr/>
  </w:style>
  <w:style w:type="character" w:styleId="WW8Num17z5">
    <w:name w:val="WW8Num17z5"/>
    <w:qFormat/>
    <w:rPr/>
  </w:style>
  <w:style w:type="character" w:styleId="WW8Num17z6">
    <w:name w:val="WW8Num17z6"/>
    <w:qFormat/>
    <w:rPr/>
  </w:style>
  <w:style w:type="character" w:styleId="WW8Num17z7">
    <w:name w:val="WW8Num17z7"/>
    <w:qFormat/>
    <w:rPr/>
  </w:style>
  <w:style w:type="character" w:styleId="WW8Num17z8">
    <w:name w:val="WW8Num17z8"/>
    <w:qFormat/>
    <w:rPr/>
  </w:style>
  <w:style w:type="character" w:styleId="WW8Num18z0">
    <w:name w:val="WW8Num18z0"/>
    <w:qFormat/>
    <w:rPr>
      <w:rFonts w:ascii="Cambria" w:hAnsi="Cambria" w:cs="Cambria"/>
    </w:rPr>
  </w:style>
  <w:style w:type="character" w:styleId="WW8Num19z0">
    <w:name w:val="WW8Num19z0"/>
    <w:qFormat/>
    <w:rPr>
      <w:rFonts w:ascii="Times New Roman" w:hAnsi="Times New Roman" w:eastAsia="Times New Roman" w:cs="Times New Roman"/>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19z3">
    <w:name w:val="WW8Num19z3"/>
    <w:qFormat/>
    <w:rPr>
      <w:rFonts w:ascii="Symbol" w:hAnsi="Symbol" w:cs="Symbol"/>
    </w:rPr>
  </w:style>
  <w:style w:type="character" w:styleId="WW8Num20z0">
    <w:name w:val="WW8Num20z0"/>
    <w:qFormat/>
    <w:rPr>
      <w:rFonts w:ascii="Symbol" w:hAnsi="Symbol" w:cs="Symbol"/>
      <w:sz w:val="20"/>
    </w:rPr>
  </w:style>
  <w:style w:type="character" w:styleId="WW8Num20z1">
    <w:name w:val="WW8Num20z1"/>
    <w:qFormat/>
    <w:rPr>
      <w:rFonts w:ascii="Courier New" w:hAnsi="Courier New" w:cs="Times New Roman"/>
      <w:sz w:val="20"/>
    </w:rPr>
  </w:style>
  <w:style w:type="character" w:styleId="WW8Num20z2">
    <w:name w:val="WW8Num20z2"/>
    <w:qFormat/>
    <w:rPr/>
  </w:style>
  <w:style w:type="character" w:styleId="WW8Num20z3">
    <w:name w:val="WW8Num20z3"/>
    <w:qFormat/>
    <w:rPr/>
  </w:style>
  <w:style w:type="character" w:styleId="WW8Num20z4">
    <w:name w:val="WW8Num20z4"/>
    <w:qFormat/>
    <w:rPr/>
  </w:style>
  <w:style w:type="character" w:styleId="WW8Num20z5">
    <w:name w:val="WW8Num20z5"/>
    <w:qFormat/>
    <w:rPr/>
  </w:style>
  <w:style w:type="character" w:styleId="WW8Num20z6">
    <w:name w:val="WW8Num20z6"/>
    <w:qFormat/>
    <w:rPr/>
  </w:style>
  <w:style w:type="character" w:styleId="WW8Num20z7">
    <w:name w:val="WW8Num20z7"/>
    <w:qFormat/>
    <w:rPr/>
  </w:style>
  <w:style w:type="character" w:styleId="WW8Num20z8">
    <w:name w:val="WW8Num20z8"/>
    <w:qFormat/>
    <w:rPr/>
  </w:style>
  <w:style w:type="character" w:styleId="WW8Num21z0">
    <w:name w:val="WW8Num21z0"/>
    <w:qFormat/>
    <w:rPr>
      <w:rFonts w:ascii="Calibri" w:hAnsi="Calibri" w:eastAsia="Times New Roman" w:cs="Times New Roman"/>
      <w:color w:val="000000"/>
      <w:sz w:val="20"/>
      <w:szCs w:val="20"/>
    </w:rPr>
  </w:style>
  <w:style w:type="character" w:styleId="WW8Num21z1">
    <w:name w:val="WW8Num21z1"/>
    <w:qFormat/>
    <w:rPr>
      <w:rFonts w:ascii="Courier New" w:hAnsi="Courier New" w:eastAsia="Calibri" w:cs="Courier New"/>
      <w:color w:val="000000"/>
      <w:sz w:val="20"/>
      <w:szCs w:val="20"/>
    </w:rPr>
  </w:style>
  <w:style w:type="character" w:styleId="WW8Num21z2">
    <w:name w:val="WW8Num21z2"/>
    <w:qFormat/>
    <w:rPr>
      <w:rFonts w:ascii="Wingdings" w:hAnsi="Wingdings" w:cs="Wingdings"/>
    </w:rPr>
  </w:style>
  <w:style w:type="character" w:styleId="WW8Num21z3">
    <w:name w:val="WW8Num21z3"/>
    <w:qFormat/>
    <w:rPr>
      <w:rFonts w:ascii="Symbol" w:hAnsi="Symbol" w:cs="Symbol"/>
    </w:rPr>
  </w:style>
  <w:style w:type="character" w:styleId="WW8Num22z0">
    <w:name w:val="WW8Num22z0"/>
    <w:qFormat/>
    <w:rPr>
      <w:rFonts w:ascii="Symbol" w:hAnsi="Symbol" w:cs="Symbol"/>
      <w:sz w:val="20"/>
    </w:rPr>
  </w:style>
  <w:style w:type="character" w:styleId="WW8Num22z1">
    <w:name w:val="WW8Num22z1"/>
    <w:qFormat/>
    <w:rPr>
      <w:rFonts w:ascii="Courier New" w:hAnsi="Courier New" w:cs="Courier New"/>
      <w:sz w:val="20"/>
    </w:rPr>
  </w:style>
  <w:style w:type="character" w:styleId="WW8Num22z2">
    <w:name w:val="WW8Num22z2"/>
    <w:qFormat/>
    <w:rPr>
      <w:rFonts w:ascii="Wingdings" w:hAnsi="Wingdings" w:cs="Wingdings"/>
      <w:sz w:val="20"/>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rFonts w:ascii="Courier New" w:hAnsi="Courier New" w:cs="Courier New"/>
    </w:rPr>
  </w:style>
  <w:style w:type="character" w:styleId="WW8Num25z0">
    <w:name w:val="WW8Num25z0"/>
    <w:qFormat/>
    <w:rPr>
      <w:rFonts w:ascii="Symbol" w:hAnsi="Symbol" w:cs="Symbol"/>
      <w:sz w:val="20"/>
    </w:rPr>
  </w:style>
  <w:style w:type="character" w:styleId="WW8Num25z1">
    <w:name w:val="WW8Num25z1"/>
    <w:qFormat/>
    <w:rPr>
      <w:rFonts w:ascii="Courier New" w:hAnsi="Courier New" w:cs="Courier New"/>
      <w:sz w:val="20"/>
    </w:rPr>
  </w:style>
  <w:style w:type="character" w:styleId="WW8Num25z2">
    <w:name w:val="WW8Num25z2"/>
    <w:qFormat/>
    <w:rPr>
      <w:rFonts w:ascii="Wingdings" w:hAnsi="Wingdings" w:cs="Wingdings"/>
      <w:sz w:val="20"/>
    </w:rPr>
  </w:style>
  <w:style w:type="character" w:styleId="WW8Num26z0">
    <w:name w:val="WW8Num26z0"/>
    <w:qFormat/>
    <w:rPr>
      <w:rFonts w:ascii="Symbol" w:hAnsi="Symbol" w:cs="Symbol"/>
      <w:sz w:val="20"/>
    </w:rPr>
  </w:style>
  <w:style w:type="character" w:styleId="WW8Num26z1">
    <w:name w:val="WW8Num26z1"/>
    <w:qFormat/>
    <w:rPr>
      <w:rFonts w:ascii="Courier New" w:hAnsi="Courier New" w:cs="Times New Roman"/>
      <w:sz w:val="20"/>
    </w:rPr>
  </w:style>
  <w:style w:type="character" w:styleId="WW8Num26z2">
    <w:name w:val="WW8Num26z2"/>
    <w:qFormat/>
    <w:rPr>
      <w:rFonts w:ascii="Calibri" w:hAnsi="Calibri" w:cs="Calibri"/>
      <w:sz w:val="20"/>
      <w:szCs w:val="20"/>
    </w:rPr>
  </w:style>
  <w:style w:type="character" w:styleId="WW8Num27z0">
    <w:name w:val="WW8Num27z0"/>
    <w:qFormat/>
    <w:rPr>
      <w:rFonts w:ascii="Calibri" w:hAnsi="Calibri" w:eastAsia="Calibri" w:cs="Calibri"/>
    </w:rPr>
  </w:style>
  <w:style w:type="character" w:styleId="WW8Num27z1">
    <w:name w:val="WW8Num27z1"/>
    <w:qFormat/>
    <w:rPr>
      <w:rFonts w:ascii="Courier New" w:hAnsi="Courier New" w:cs="Courier New"/>
    </w:rPr>
  </w:style>
  <w:style w:type="character" w:styleId="WW8Num27z2">
    <w:name w:val="WW8Num27z2"/>
    <w:qFormat/>
    <w:rPr>
      <w:rFonts w:ascii="Wingdings" w:hAnsi="Wingdings" w:cs="Wingdings"/>
    </w:rPr>
  </w:style>
  <w:style w:type="character" w:styleId="WW8Num27z3">
    <w:name w:val="WW8Num27z3"/>
    <w:qFormat/>
    <w:rPr>
      <w:rFonts w:ascii="Symbol" w:hAnsi="Symbol" w:cs="Symbol"/>
    </w:rPr>
  </w:style>
  <w:style w:type="character" w:styleId="WW8Num28z0">
    <w:name w:val="WW8Num28z0"/>
    <w:qFormat/>
    <w:rPr>
      <w:rFonts w:ascii="Symbol" w:hAnsi="Symbol" w:cs="Symbol"/>
    </w:rPr>
  </w:style>
  <w:style w:type="character" w:styleId="WW8Num28z1">
    <w:name w:val="WW8Num28z1"/>
    <w:qFormat/>
    <w:rPr>
      <w:rFonts w:ascii="Courier New" w:hAnsi="Courier New" w:cs="Courier New"/>
      <w:color w:val="000000"/>
      <w:sz w:val="20"/>
      <w:szCs w:val="20"/>
    </w:rPr>
  </w:style>
  <w:style w:type="character" w:styleId="WW8Num28z2">
    <w:name w:val="WW8Num28z2"/>
    <w:qFormat/>
    <w:rPr>
      <w:rFonts w:ascii="Wingdings" w:hAnsi="Wingdings" w:cs="Wingdings"/>
    </w:rPr>
  </w:style>
  <w:style w:type="character" w:styleId="WW8Num29z0">
    <w:name w:val="WW8Num29z0"/>
    <w:qFormat/>
    <w:rPr>
      <w:rFonts w:ascii="Symbol" w:hAnsi="Symbol" w:eastAsia="Calibri" w:cs="Symbol"/>
      <w:color w:val="000000"/>
      <w:sz w:val="21"/>
      <w:szCs w:val="21"/>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30z0">
    <w:name w:val="WW8Num30z0"/>
    <w:qFormat/>
    <w:rPr>
      <w:rFonts w:ascii="Calibri" w:hAnsi="Calibri" w:eastAsia="Times New Roman" w:cs="Calibri"/>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0z3">
    <w:name w:val="WW8Num30z3"/>
    <w:qFormat/>
    <w:rPr>
      <w:rFonts w:ascii="Symbol" w:hAnsi="Symbol" w:cs="Symbol"/>
    </w:rPr>
  </w:style>
  <w:style w:type="character" w:styleId="WW8Num31z0">
    <w:name w:val="WW8Num31z0"/>
    <w:qFormat/>
    <w:rPr>
      <w:rFonts w:ascii="Symbol" w:hAnsi="Symbol" w:cs="Symbol"/>
    </w:rPr>
  </w:style>
  <w:style w:type="character" w:styleId="WW8Num31z1">
    <w:name w:val="WW8Num31z1"/>
    <w:qFormat/>
    <w:rPr>
      <w:rFonts w:ascii="Courier New" w:hAnsi="Courier New" w:cs="Courier New"/>
    </w:rPr>
  </w:style>
  <w:style w:type="character" w:styleId="WW8Num31z2">
    <w:name w:val="WW8Num31z2"/>
    <w:qFormat/>
    <w:rPr>
      <w:rFonts w:ascii="Wingdings" w:hAnsi="Wingdings" w:cs="Wingdings"/>
    </w:rPr>
  </w:style>
  <w:style w:type="character" w:styleId="WW8Num32z0">
    <w:name w:val="WW8Num32z0"/>
    <w:qFormat/>
    <w:rPr/>
  </w:style>
  <w:style w:type="character" w:styleId="WW8Num32z1">
    <w:name w:val="WW8Num32z1"/>
    <w:qFormat/>
    <w:rPr/>
  </w:style>
  <w:style w:type="character" w:styleId="WW8Num32z2">
    <w:name w:val="WW8Num32z2"/>
    <w:qFormat/>
    <w:rPr/>
  </w:style>
  <w:style w:type="character" w:styleId="WW8Num32z3">
    <w:name w:val="WW8Num32z3"/>
    <w:qFormat/>
    <w:rPr/>
  </w:style>
  <w:style w:type="character" w:styleId="WW8Num32z4">
    <w:name w:val="WW8Num32z4"/>
    <w:qFormat/>
    <w:rPr/>
  </w:style>
  <w:style w:type="character" w:styleId="WW8Num32z5">
    <w:name w:val="WW8Num32z5"/>
    <w:qFormat/>
    <w:rPr/>
  </w:style>
  <w:style w:type="character" w:styleId="WW8Num32z6">
    <w:name w:val="WW8Num32z6"/>
    <w:qFormat/>
    <w:rPr/>
  </w:style>
  <w:style w:type="character" w:styleId="WW8Num32z7">
    <w:name w:val="WW8Num32z7"/>
    <w:qFormat/>
    <w:rPr/>
  </w:style>
  <w:style w:type="character" w:styleId="WW8Num32z8">
    <w:name w:val="WW8Num32z8"/>
    <w:qFormat/>
    <w:rPr/>
  </w:style>
  <w:style w:type="character" w:styleId="WW8Num33z0">
    <w:name w:val="WW8Num33z0"/>
    <w:qFormat/>
    <w:rPr>
      <w:rFonts w:ascii="Symbol" w:hAnsi="Symbol" w:cs="Symbol"/>
      <w:sz w:val="20"/>
    </w:rPr>
  </w:style>
  <w:style w:type="character" w:styleId="WW8Num33z1">
    <w:name w:val="WW8Num33z1"/>
    <w:qFormat/>
    <w:rPr>
      <w:rFonts w:ascii="Courier New" w:hAnsi="Courier New" w:cs="Times New Roman"/>
      <w:sz w:val="20"/>
    </w:rPr>
  </w:style>
  <w:style w:type="character" w:styleId="WW8Num33z2">
    <w:name w:val="WW8Num33z2"/>
    <w:qFormat/>
    <w:rPr/>
  </w:style>
  <w:style w:type="character" w:styleId="WW8Num34z0">
    <w:name w:val="WW8Num34z0"/>
    <w:qFormat/>
    <w:rPr>
      <w:rFonts w:ascii="Symbol" w:hAnsi="Symbol" w:cs="Symbol"/>
      <w:sz w:val="20"/>
    </w:rPr>
  </w:style>
  <w:style w:type="character" w:styleId="WW8Num34z1">
    <w:name w:val="WW8Num34z1"/>
    <w:qFormat/>
    <w:rPr>
      <w:rFonts w:ascii="Courier New" w:hAnsi="Courier New" w:cs="Courier New"/>
      <w:sz w:val="20"/>
    </w:rPr>
  </w:style>
  <w:style w:type="character" w:styleId="WW8Num34z2">
    <w:name w:val="WW8Num34z2"/>
    <w:qFormat/>
    <w:rPr>
      <w:rFonts w:ascii="Wingdings" w:hAnsi="Wingdings" w:cs="Wingdings"/>
      <w:sz w:val="20"/>
    </w:rPr>
  </w:style>
  <w:style w:type="character" w:styleId="WW8Num35z0">
    <w:name w:val="WW8Num35z0"/>
    <w:qFormat/>
    <w:rPr>
      <w:rFonts w:ascii="Calibri" w:hAnsi="Calibri" w:eastAsia="Times New Roman" w:cs="Times New Roman"/>
    </w:rPr>
  </w:style>
  <w:style w:type="character" w:styleId="WW8Num35z1">
    <w:name w:val="WW8Num35z1"/>
    <w:qFormat/>
    <w:rPr>
      <w:rFonts w:ascii="Courier New" w:hAnsi="Courier New" w:cs="Courier New"/>
    </w:rPr>
  </w:style>
  <w:style w:type="character" w:styleId="WW8Num35z2">
    <w:name w:val="WW8Num35z2"/>
    <w:qFormat/>
    <w:rPr>
      <w:rFonts w:ascii="Wingdings" w:hAnsi="Wingdings" w:cs="Wingdings"/>
    </w:rPr>
  </w:style>
  <w:style w:type="character" w:styleId="WW8Num35z3">
    <w:name w:val="WW8Num35z3"/>
    <w:qFormat/>
    <w:rPr>
      <w:rFonts w:ascii="Symbol" w:hAnsi="Symbol" w:cs="Symbol"/>
    </w:rPr>
  </w:style>
  <w:style w:type="character" w:styleId="WW8Num36z0">
    <w:name w:val="WW8Num36z0"/>
    <w:qFormat/>
    <w:rPr>
      <w:rFonts w:ascii="Symbol" w:hAnsi="Symbol" w:cs="Symbol"/>
      <w:sz w:val="20"/>
    </w:rPr>
  </w:style>
  <w:style w:type="character" w:styleId="WW8Num36z1">
    <w:name w:val="WW8Num36z1"/>
    <w:qFormat/>
    <w:rPr>
      <w:rFonts w:ascii="Courier New" w:hAnsi="Courier New" w:cs="Times New Roman"/>
      <w:sz w:val="20"/>
    </w:rPr>
  </w:style>
  <w:style w:type="character" w:styleId="WW8Num36z2">
    <w:name w:val="WW8Num36z2"/>
    <w:qFormat/>
    <w:rPr>
      <w:rFonts w:ascii="Calibri" w:hAnsi="Calibri" w:cs="Calibri"/>
      <w:sz w:val="20"/>
      <w:szCs w:val="20"/>
    </w:rPr>
  </w:style>
  <w:style w:type="character" w:styleId="WW8Num37z0">
    <w:name w:val="WW8Num37z0"/>
    <w:qFormat/>
    <w:rPr/>
  </w:style>
  <w:style w:type="character" w:styleId="WW8Num37z1">
    <w:name w:val="WW8Num37z1"/>
    <w:qFormat/>
    <w:rPr/>
  </w:style>
  <w:style w:type="character" w:styleId="WW8Num37z2">
    <w:name w:val="WW8Num37z2"/>
    <w:qFormat/>
    <w:rPr/>
  </w:style>
  <w:style w:type="character" w:styleId="WW8Num37z3">
    <w:name w:val="WW8Num37z3"/>
    <w:qFormat/>
    <w:rPr/>
  </w:style>
  <w:style w:type="character" w:styleId="WW8Num37z4">
    <w:name w:val="WW8Num37z4"/>
    <w:qFormat/>
    <w:rPr/>
  </w:style>
  <w:style w:type="character" w:styleId="WW8Num37z5">
    <w:name w:val="WW8Num37z5"/>
    <w:qFormat/>
    <w:rPr/>
  </w:style>
  <w:style w:type="character" w:styleId="WW8Num37z6">
    <w:name w:val="WW8Num37z6"/>
    <w:qFormat/>
    <w:rPr/>
  </w:style>
  <w:style w:type="character" w:styleId="WW8Num37z7">
    <w:name w:val="WW8Num37z7"/>
    <w:qFormat/>
    <w:rPr/>
  </w:style>
  <w:style w:type="character" w:styleId="WW8Num37z8">
    <w:name w:val="WW8Num37z8"/>
    <w:qFormat/>
    <w:rPr/>
  </w:style>
  <w:style w:type="character" w:styleId="WW8Num38z0">
    <w:name w:val="WW8Num38z0"/>
    <w:qFormat/>
    <w:rPr>
      <w:b w:val="false"/>
    </w:rPr>
  </w:style>
  <w:style w:type="character" w:styleId="WW8Num38z1">
    <w:name w:val="WW8Num38z1"/>
    <w:qFormat/>
    <w:rPr/>
  </w:style>
  <w:style w:type="character" w:styleId="WW8Num38z2">
    <w:name w:val="WW8Num38z2"/>
    <w:qFormat/>
    <w:rPr/>
  </w:style>
  <w:style w:type="character" w:styleId="WW8Num38z3">
    <w:name w:val="WW8Num38z3"/>
    <w:qFormat/>
    <w:rPr/>
  </w:style>
  <w:style w:type="character" w:styleId="WW8Num38z4">
    <w:name w:val="WW8Num38z4"/>
    <w:qFormat/>
    <w:rPr/>
  </w:style>
  <w:style w:type="character" w:styleId="WW8Num38z5">
    <w:name w:val="WW8Num38z5"/>
    <w:qFormat/>
    <w:rPr/>
  </w:style>
  <w:style w:type="character" w:styleId="WW8Num38z6">
    <w:name w:val="WW8Num38z6"/>
    <w:qFormat/>
    <w:rPr/>
  </w:style>
  <w:style w:type="character" w:styleId="WW8Num38z7">
    <w:name w:val="WW8Num38z7"/>
    <w:qFormat/>
    <w:rPr/>
  </w:style>
  <w:style w:type="character" w:styleId="WW8Num38z8">
    <w:name w:val="WW8Num38z8"/>
    <w:qFormat/>
    <w:rPr/>
  </w:style>
  <w:style w:type="character" w:styleId="WW8Num39z0">
    <w:name w:val="WW8Num39z0"/>
    <w:qFormat/>
    <w:rPr>
      <w:rFonts w:ascii="Symbol" w:hAnsi="Symbol" w:cs="Symbol"/>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40z0">
    <w:name w:val="WW8Num40z0"/>
    <w:qFormat/>
    <w:rPr>
      <w:rFonts w:ascii="Wingdings" w:hAnsi="Wingdings" w:eastAsia="Calibri" w:cs="Calibri"/>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0z3">
    <w:name w:val="WW8Num40z3"/>
    <w:qFormat/>
    <w:rPr>
      <w:rFonts w:ascii="Symbol" w:hAnsi="Symbol" w:cs="Symbol"/>
    </w:rPr>
  </w:style>
  <w:style w:type="character" w:styleId="WW8Num41z0">
    <w:name w:val="WW8Num41z0"/>
    <w:qFormat/>
    <w:rPr>
      <w:rFonts w:ascii="Symbol" w:hAnsi="Symbol" w:cs="Symbol"/>
      <w:sz w:val="20"/>
    </w:rPr>
  </w:style>
  <w:style w:type="character" w:styleId="WW8Num41z1">
    <w:name w:val="WW8Num41z1"/>
    <w:qFormat/>
    <w:rPr>
      <w:rFonts w:ascii="Courier New" w:hAnsi="Courier New" w:cs="Times New Roman"/>
      <w:sz w:val="20"/>
    </w:rPr>
  </w:style>
  <w:style w:type="character" w:styleId="WW8Num41z2">
    <w:name w:val="WW8Num41z2"/>
    <w:qFormat/>
    <w:rPr/>
  </w:style>
  <w:style w:type="character" w:styleId="WW8Num42z0">
    <w:name w:val="WW8Num42z0"/>
    <w:qFormat/>
    <w:rPr>
      <w:rFonts w:ascii="Wingdings" w:hAnsi="Wingdings" w:eastAsia="Times New Roman" w:cs="Times New Roman"/>
    </w:rPr>
  </w:style>
  <w:style w:type="character" w:styleId="WW8Num42z1">
    <w:name w:val="WW8Num42z1"/>
    <w:qFormat/>
    <w:rPr>
      <w:rFonts w:ascii="Courier New" w:hAnsi="Courier New" w:cs="Courier New"/>
    </w:rPr>
  </w:style>
  <w:style w:type="character" w:styleId="WW8Num42z2">
    <w:name w:val="WW8Num42z2"/>
    <w:qFormat/>
    <w:rPr>
      <w:rFonts w:ascii="Wingdings" w:hAnsi="Wingdings" w:cs="Wingdings"/>
    </w:rPr>
  </w:style>
  <w:style w:type="character" w:styleId="WW8Num42z3">
    <w:name w:val="WW8Num42z3"/>
    <w:qFormat/>
    <w:rPr>
      <w:rFonts w:ascii="Symbol" w:hAnsi="Symbol" w:cs="Symbol"/>
    </w:rPr>
  </w:style>
  <w:style w:type="character" w:styleId="WW8Num43z0">
    <w:name w:val="WW8Num43z0"/>
    <w:qFormat/>
    <w:rPr>
      <w:rFonts w:ascii="Symbol" w:hAnsi="Symbol" w:cs="Symbol"/>
    </w:rPr>
  </w:style>
  <w:style w:type="character" w:styleId="WW8Num43z1">
    <w:name w:val="WW8Num43z1"/>
    <w:qFormat/>
    <w:rPr>
      <w:rFonts w:ascii="Courier New" w:hAnsi="Courier New" w:cs="Courier New"/>
    </w:rPr>
  </w:style>
  <w:style w:type="character" w:styleId="WW8Num43z2">
    <w:name w:val="WW8Num43z2"/>
    <w:qFormat/>
    <w:rPr>
      <w:rFonts w:ascii="Wingdings" w:hAnsi="Wingdings" w:cs="Wingdings"/>
    </w:rPr>
  </w:style>
  <w:style w:type="character" w:styleId="WW8Num44z0">
    <w:name w:val="WW8Num44z0"/>
    <w:qFormat/>
    <w:rPr>
      <w:rFonts w:ascii="Calibri" w:hAnsi="Calibri" w:eastAsia="Calibri" w:cs="Tahoma"/>
    </w:rPr>
  </w:style>
  <w:style w:type="character" w:styleId="WW8Num44z1">
    <w:name w:val="WW8Num44z1"/>
    <w:qFormat/>
    <w:rPr>
      <w:rFonts w:ascii="Courier New" w:hAnsi="Courier New" w:cs="Courier New"/>
    </w:rPr>
  </w:style>
  <w:style w:type="character" w:styleId="WW8Num44z2">
    <w:name w:val="WW8Num44z2"/>
    <w:qFormat/>
    <w:rPr>
      <w:rFonts w:ascii="Wingdings" w:hAnsi="Wingdings" w:cs="Wingdings"/>
    </w:rPr>
  </w:style>
  <w:style w:type="character" w:styleId="WW8Num44z3">
    <w:name w:val="WW8Num44z3"/>
    <w:qFormat/>
    <w:rPr>
      <w:rFonts w:ascii="Symbol" w:hAnsi="Symbol" w:cs="Symbol"/>
    </w:rPr>
  </w:style>
  <w:style w:type="character" w:styleId="WW8Num45z0">
    <w:name w:val="WW8Num45z0"/>
    <w:qFormat/>
    <w:rPr/>
  </w:style>
  <w:style w:type="character" w:styleId="WW8Num45z1">
    <w:name w:val="WW8Num45z1"/>
    <w:qFormat/>
    <w:rPr/>
  </w:style>
  <w:style w:type="character" w:styleId="WW8Num45z2">
    <w:name w:val="WW8Num45z2"/>
    <w:qFormat/>
    <w:rPr/>
  </w:style>
  <w:style w:type="character" w:styleId="WW8Num45z3">
    <w:name w:val="WW8Num45z3"/>
    <w:qFormat/>
    <w:rPr/>
  </w:style>
  <w:style w:type="character" w:styleId="WW8Num45z4">
    <w:name w:val="WW8Num45z4"/>
    <w:qFormat/>
    <w:rPr/>
  </w:style>
  <w:style w:type="character" w:styleId="WW8Num45z5">
    <w:name w:val="WW8Num45z5"/>
    <w:qFormat/>
    <w:rPr/>
  </w:style>
  <w:style w:type="character" w:styleId="WW8Num45z6">
    <w:name w:val="WW8Num45z6"/>
    <w:qFormat/>
    <w:rPr/>
  </w:style>
  <w:style w:type="character" w:styleId="WW8Num45z7">
    <w:name w:val="WW8Num45z7"/>
    <w:qFormat/>
    <w:rPr/>
  </w:style>
  <w:style w:type="character" w:styleId="WW8Num45z8">
    <w:name w:val="WW8Num45z8"/>
    <w:qFormat/>
    <w:rPr/>
  </w:style>
  <w:style w:type="character" w:styleId="Policepardfaut">
    <w:name w:val="Police par défaut"/>
    <w:qFormat/>
    <w:rPr/>
  </w:style>
  <w:style w:type="character" w:styleId="PageNumber">
    <w:name w:val="Page Number"/>
    <w:basedOn w:val="Policepardfaut"/>
    <w:rPr/>
  </w:style>
  <w:style w:type="character" w:styleId="Marquedecommentaire">
    <w:name w:val="Marque de commentaire"/>
    <w:qFormat/>
    <w:rPr>
      <w:sz w:val="16"/>
      <w:szCs w:val="16"/>
    </w:rPr>
  </w:style>
  <w:style w:type="character" w:styleId="FootnoteCharacters">
    <w:name w:val="Footnote Characters"/>
    <w:qFormat/>
    <w:rPr>
      <w:vertAlign w:val="superscript"/>
    </w:rPr>
  </w:style>
  <w:style w:type="character" w:styleId="NormalChar">
    <w:name w:val="*Normal Char"/>
    <w:qFormat/>
    <w:rPr>
      <w:rFonts w:ascii="Verdana" w:hAnsi="Verdana" w:cs="Verdana"/>
    </w:rPr>
  </w:style>
  <w:style w:type="character" w:styleId="Googqstidbit1">
    <w:name w:val="goog_qs-tidbit1"/>
    <w:qFormat/>
    <w:rPr>
      <w:vanish w:val="false"/>
    </w:rPr>
  </w:style>
  <w:style w:type="character" w:styleId="Spipsurligne">
    <w:name w:val="spip_surligne"/>
    <w:qFormat/>
    <w:rPr/>
  </w:style>
  <w:style w:type="character" w:styleId="PieddepageCar">
    <w:name w:val="Pied de page Car"/>
    <w:qFormat/>
    <w:rPr>
      <w:sz w:val="24"/>
      <w:szCs w:val="24"/>
      <w:lang w:val="en-US"/>
    </w:rPr>
  </w:style>
  <w:style w:type="character" w:styleId="EntteCar">
    <w:name w:val="En-tête Car"/>
    <w:qFormat/>
    <w:rPr>
      <w:sz w:val="24"/>
      <w:szCs w:val="24"/>
      <w:lang w:val="en-US"/>
    </w:rPr>
  </w:style>
  <w:style w:type="character" w:styleId="SalutationsCar">
    <w:name w:val="Salutations Car"/>
    <w:qFormat/>
    <w:rPr>
      <w:sz w:val="24"/>
      <w:szCs w:val="24"/>
      <w:lang w:val="en-US"/>
    </w:rPr>
  </w:style>
  <w:style w:type="character" w:styleId="Corpsdetexte2Car">
    <w:name w:val="Corps de texte 2 Car"/>
    <w:qFormat/>
    <w:rPr>
      <w:sz w:val="24"/>
      <w:szCs w:val="24"/>
      <w:lang w:val="en-US"/>
    </w:rPr>
  </w:style>
  <w:style w:type="character" w:styleId="Emphasis">
    <w:name w:val="Emphasis"/>
    <w:qFormat/>
    <w:rPr>
      <w:i/>
      <w:iCs/>
    </w:rPr>
  </w:style>
  <w:style w:type="character" w:styleId="TextebrutCar">
    <w:name w:val="Texte brut Car"/>
    <w:qFormat/>
    <w:rPr>
      <w:rFonts w:ascii="Calibri" w:hAnsi="Calibri" w:eastAsia="Calibri" w:cs="Calibri"/>
      <w:sz w:val="22"/>
      <w:szCs w:val="21"/>
      <w:lang w:val="en-US"/>
    </w:rPr>
  </w:style>
  <w:style w:type="character" w:styleId="SoustitreCar">
    <w:name w:val="Sous-titre Car"/>
    <w:qFormat/>
    <w:rPr>
      <w:rFonts w:ascii="Cambria" w:hAnsi="Cambria" w:cs="Cambria"/>
      <w:sz w:val="24"/>
      <w:szCs w:val="24"/>
      <w:lang w:val="en-US"/>
    </w:rPr>
  </w:style>
  <w:style w:type="character" w:styleId="InternetLink">
    <w:name w:val="Internet Link"/>
    <w:rPr>
      <w:color w:val="0000FF"/>
      <w:u w:val="single"/>
    </w:rPr>
  </w:style>
  <w:style w:type="character" w:styleId="StrongEmphasis">
    <w:name w:val="Strong Emphasis"/>
    <w:qFormat/>
    <w:rPr>
      <w:b/>
      <w:bCs/>
    </w:rPr>
  </w:style>
  <w:style w:type="character" w:styleId="Normaltextrun">
    <w:name w:val="normaltextrun"/>
    <w:basedOn w:val="Policepardfaut"/>
    <w:qFormat/>
    <w:rPr/>
  </w:style>
  <w:style w:type="character" w:styleId="Eop">
    <w:name w:val="eop"/>
    <w:basedOn w:val="Policepardfaut"/>
    <w:qFormat/>
    <w:rPr/>
  </w:style>
  <w:style w:type="character" w:styleId="Titre1Car">
    <w:name w:val="Titre 1 Car"/>
    <w:qFormat/>
    <w:rPr>
      <w:b/>
      <w:bCs/>
      <w:sz w:val="24"/>
      <w:szCs w:val="24"/>
    </w:rPr>
  </w:style>
  <w:style w:type="character" w:styleId="Titre2Car">
    <w:name w:val="Titre 2 Car"/>
    <w:qFormat/>
    <w:rPr>
      <w:b/>
      <w:sz w:val="24"/>
      <w:szCs w:val="24"/>
    </w:rPr>
  </w:style>
  <w:style w:type="character" w:styleId="Titre3Car">
    <w:name w:val="Titre 3 Car"/>
    <w:qFormat/>
    <w:rPr>
      <w:b/>
      <w:bCs/>
      <w:sz w:val="24"/>
      <w:szCs w:val="24"/>
    </w:rPr>
  </w:style>
  <w:style w:type="character" w:styleId="TitreCar">
    <w:name w:val="Titre Car"/>
    <w:qFormat/>
    <w:rPr>
      <w:b/>
      <w:bCs/>
      <w:sz w:val="24"/>
      <w:szCs w:val="24"/>
      <w:bdr w:val="single" w:sz="4" w:space="0" w:color="000000"/>
    </w:rPr>
  </w:style>
  <w:style w:type="character" w:styleId="CorpsdetexteCar">
    <w:name w:val="Corps de texte Car"/>
    <w:qFormat/>
    <w:rPr>
      <w:b/>
      <w:iCs/>
      <w:sz w:val="24"/>
      <w:szCs w:val="24"/>
    </w:rPr>
  </w:style>
  <w:style w:type="character" w:styleId="TextedebullesCar">
    <w:name w:val="Texte de bulles Car"/>
    <w:qFormat/>
    <w:rPr>
      <w:rFonts w:ascii="Tahoma" w:hAnsi="Tahoma" w:cs="Tahoma"/>
      <w:sz w:val="16"/>
      <w:szCs w:val="16"/>
    </w:rPr>
  </w:style>
  <w:style w:type="character" w:styleId="CommentaireCar">
    <w:name w:val="Commentaire Car"/>
    <w:basedOn w:val="Policepardfaut"/>
    <w:qFormat/>
    <w:rPr/>
  </w:style>
  <w:style w:type="character" w:styleId="ObjetducommentaireCar">
    <w:name w:val="Objet du commentaire Car"/>
    <w:qFormat/>
    <w:rPr>
      <w:b/>
      <w:bCs/>
    </w:rPr>
  </w:style>
  <w:style w:type="character" w:styleId="NotedebasdepageCar">
    <w:name w:val="Note de bas de page Car"/>
    <w:basedOn w:val="Policepardfaut"/>
    <w:qFormat/>
    <w:rPr/>
  </w:style>
  <w:style w:type="paragraph" w:styleId="Heading">
    <w:name w:val="Heading"/>
    <w:basedOn w:val="Normal"/>
    <w:next w:val="TextBody"/>
    <w:qFormat/>
    <w:pPr>
      <w:jc w:val="center"/>
    </w:pPr>
    <w:rPr>
      <w:b/>
      <w:bCs/>
      <w:bdr w:val="single" w:sz="4" w:space="0" w:color="000000"/>
    </w:rPr>
  </w:style>
  <w:style w:type="paragraph" w:styleId="TextBody">
    <w:name w:val="Body Text"/>
    <w:basedOn w:val="Normal"/>
    <w:pPr>
      <w:jc w:val="both"/>
    </w:pPr>
    <w:rPr>
      <w:b/>
      <w:iCs/>
      <w:lang w:val="fr-FR"/>
    </w:rPr>
  </w:style>
  <w:style w:type="paragraph" w:styleId="List">
    <w:name w:val="List"/>
    <w:basedOn w:val="Normal"/>
    <w:pPr>
      <w:spacing w:before="0" w:after="0"/>
      <w:ind w:left="283" w:hanging="283"/>
      <w:contextualSpacing/>
    </w:pPr>
    <w:rPr>
      <w:lang w:val="fr-F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Textedebulles">
    <w:name w:val="Texte de bulles"/>
    <w:basedOn w:val="Normal"/>
    <w:qFormat/>
    <w:pPr/>
    <w:rPr>
      <w:rFonts w:ascii="Tahoma" w:hAnsi="Tahoma" w:cs="Tahoma"/>
      <w:sz w:val="16"/>
      <w:szCs w:val="16"/>
    </w:rPr>
  </w:style>
  <w:style w:type="paragraph" w:styleId="Footer">
    <w:name w:val="Footer"/>
    <w:basedOn w:val="Normal"/>
    <w:pPr>
      <w:tabs>
        <w:tab w:val="center" w:pos="4536" w:leader="none"/>
        <w:tab w:val="right" w:pos="9072" w:leader="none"/>
      </w:tabs>
    </w:pPr>
    <w:rPr/>
  </w:style>
  <w:style w:type="paragraph" w:styleId="Header">
    <w:name w:val="Header"/>
    <w:basedOn w:val="Normal"/>
    <w:pPr>
      <w:tabs>
        <w:tab w:val="center" w:pos="4536" w:leader="none"/>
        <w:tab w:val="right" w:pos="9072" w:leader="none"/>
      </w:tabs>
    </w:pPr>
    <w:rPr/>
  </w:style>
  <w:style w:type="paragraph" w:styleId="Commentaire">
    <w:name w:val="Commentaire"/>
    <w:basedOn w:val="Normal"/>
    <w:qFormat/>
    <w:pPr/>
    <w:rPr>
      <w:sz w:val="20"/>
      <w:szCs w:val="20"/>
    </w:rPr>
  </w:style>
  <w:style w:type="paragraph" w:styleId="Objetducommentaire">
    <w:name w:val="Objet du commentaire"/>
    <w:basedOn w:val="Commentaire"/>
    <w:next w:val="Commentaire"/>
    <w:qFormat/>
    <w:pPr/>
    <w:rPr>
      <w:b/>
      <w:bCs/>
    </w:rPr>
  </w:style>
  <w:style w:type="paragraph" w:styleId="Footnote">
    <w:name w:val="Footnote Text"/>
    <w:basedOn w:val="Normal"/>
    <w:pPr/>
    <w:rPr>
      <w:sz w:val="20"/>
      <w:szCs w:val="20"/>
    </w:rPr>
  </w:style>
  <w:style w:type="paragraph" w:styleId="Paragraphedeliste">
    <w:name w:val="Paragraphe de liste"/>
    <w:basedOn w:val="Normal"/>
    <w:qFormat/>
    <w:pPr>
      <w:ind w:left="720" w:hanging="0"/>
    </w:pPr>
    <w:rPr>
      <w:rFonts w:ascii="Calibri" w:hAnsi="Calibri" w:eastAsia="Calibri" w:cs="Calibri"/>
      <w:sz w:val="22"/>
      <w:szCs w:val="22"/>
      <w:lang w:val="fr-FR"/>
    </w:rPr>
  </w:style>
  <w:style w:type="paragraph" w:styleId="Normal1">
    <w:name w:val="*Normal"/>
    <w:basedOn w:val="Normal"/>
    <w:qFormat/>
    <w:pPr/>
    <w:rPr>
      <w:rFonts w:ascii="Verdana" w:hAnsi="Verdana" w:cs="Verdana"/>
      <w:sz w:val="20"/>
      <w:szCs w:val="20"/>
      <w:lang w:val="fr-FR"/>
    </w:rPr>
  </w:style>
  <w:style w:type="paragraph" w:styleId="NormalWeb">
    <w:name w:val="Normal (Web)"/>
    <w:basedOn w:val="Normal"/>
    <w:qFormat/>
    <w:pPr/>
    <w:rPr>
      <w:rFonts w:eastAsia="Calibri"/>
    </w:rPr>
  </w:style>
  <w:style w:type="paragraph" w:styleId="Liste2">
    <w:name w:val="Liste 2"/>
    <w:basedOn w:val="Normal"/>
    <w:qFormat/>
    <w:pPr>
      <w:spacing w:before="0" w:after="0"/>
      <w:ind w:left="566" w:hanging="283"/>
      <w:contextualSpacing/>
    </w:pPr>
    <w:rPr>
      <w:lang w:val="fr-FR"/>
    </w:rPr>
  </w:style>
  <w:style w:type="paragraph" w:styleId="Salutations">
    <w:name w:val="Salutations"/>
    <w:basedOn w:val="Normal"/>
    <w:next w:val="Normal"/>
    <w:qFormat/>
    <w:pPr/>
    <w:rPr/>
  </w:style>
  <w:style w:type="paragraph" w:styleId="Listepuces2">
    <w:name w:val="Liste à puces 2"/>
    <w:basedOn w:val="Normal"/>
    <w:qFormat/>
    <w:pPr>
      <w:numPr>
        <w:ilvl w:val="0"/>
        <w:numId w:val="2"/>
      </w:numPr>
      <w:spacing w:before="0" w:after="0"/>
      <w:contextualSpacing/>
    </w:pPr>
    <w:rPr/>
  </w:style>
  <w:style w:type="paragraph" w:styleId="Listecontinue">
    <w:name w:val="Liste continue"/>
    <w:basedOn w:val="Normal"/>
    <w:qFormat/>
    <w:pPr>
      <w:spacing w:before="0" w:after="120"/>
      <w:ind w:left="283" w:hanging="0"/>
      <w:contextualSpacing/>
    </w:pPr>
    <w:rPr/>
  </w:style>
  <w:style w:type="paragraph" w:styleId="Corpsdetexte2">
    <w:name w:val="Corps de texte 2"/>
    <w:basedOn w:val="Normal"/>
    <w:qFormat/>
    <w:pPr>
      <w:spacing w:lineRule="auto" w:line="480" w:before="0" w:after="120"/>
    </w:pPr>
    <w:rPr/>
  </w:style>
  <w:style w:type="paragraph" w:styleId="Default">
    <w:name w:val="Default"/>
    <w:qFormat/>
    <w:pPr>
      <w:widowControl/>
      <w:autoSpaceDE w:val="false"/>
    </w:pPr>
    <w:rPr>
      <w:rFonts w:ascii="Verdana" w:hAnsi="Verdana" w:eastAsia="Times New Roman" w:cs="Verdana"/>
      <w:color w:val="000000"/>
      <w:sz w:val="24"/>
      <w:szCs w:val="24"/>
      <w:lang w:val="fr-FR" w:bidi="ar-SA" w:eastAsia="zh-CN"/>
    </w:rPr>
  </w:style>
  <w:style w:type="paragraph" w:styleId="Soustitre2">
    <w:name w:val="soustitre2"/>
    <w:basedOn w:val="Normal"/>
    <w:qFormat/>
    <w:pPr>
      <w:spacing w:before="280" w:after="280"/>
    </w:pPr>
    <w:rPr>
      <w:lang w:val="fr-FR"/>
    </w:rPr>
  </w:style>
  <w:style w:type="paragraph" w:styleId="Textebrut">
    <w:name w:val="Texte brut"/>
    <w:basedOn w:val="Normal"/>
    <w:qFormat/>
    <w:pPr/>
    <w:rPr>
      <w:rFonts w:ascii="Calibri" w:hAnsi="Calibri" w:eastAsia="Calibri" w:cs="Times New Roman"/>
      <w:sz w:val="22"/>
      <w:szCs w:val="21"/>
    </w:rPr>
  </w:style>
  <w:style w:type="paragraph" w:styleId="Subtitle">
    <w:name w:val="Subtitle"/>
    <w:basedOn w:val="Normal"/>
    <w:next w:val="Normal"/>
    <w:qFormat/>
    <w:pPr>
      <w:spacing w:before="0" w:after="60"/>
      <w:jc w:val="center"/>
      <w:outlineLvl w:val="1"/>
    </w:pPr>
    <w:rPr>
      <w:rFonts w:ascii="Cambria" w:hAnsi="Cambria" w:cs="Cambria"/>
    </w:rPr>
  </w:style>
  <w:style w:type="paragraph" w:styleId="Texte">
    <w:name w:val="texte"/>
    <w:basedOn w:val="Textebrut"/>
    <w:qFormat/>
    <w:pPr>
      <w:jc w:val="both"/>
    </w:pPr>
    <w:rPr>
      <w:rFonts w:ascii="Arial" w:hAnsi="Arial" w:eastAsia="MS Mincho;ＭＳ 明朝" w:cs="Arial"/>
      <w:szCs w:val="20"/>
      <w:lang w:val="fr-FR"/>
    </w:rPr>
  </w:style>
  <w:style w:type="paragraph" w:styleId="Rvision">
    <w:name w:val="Révision"/>
    <w:qFormat/>
    <w:pPr>
      <w:widowControl/>
    </w:pPr>
    <w:rPr>
      <w:rFonts w:ascii="Times New Roman" w:hAnsi="Times New Roman" w:eastAsia="Times New Roman" w:cs="Times New Roman"/>
      <w:color w:val="auto"/>
      <w:sz w:val="24"/>
      <w:szCs w:val="24"/>
      <w:lang w:val="en-US" w:bidi="ar-SA" w:eastAsia="zh-CN"/>
    </w:rPr>
  </w:style>
  <w:style w:type="paragraph" w:styleId="Body1">
    <w:name w:val="*Body 1"/>
    <w:qFormat/>
    <w:pPr>
      <w:widowControl/>
      <w:spacing w:before="0" w:after="240"/>
    </w:pPr>
    <w:rPr>
      <w:rFonts w:ascii="Times New Roman" w:hAnsi="Times New Roman" w:eastAsia="Times New Roman" w:cs="Times New Roman"/>
      <w:color w:val="auto"/>
      <w:sz w:val="22"/>
      <w:szCs w:val="20"/>
      <w:lang w:val="en-US" w:bidi="ar-SA" w:eastAsia="zh-CN"/>
    </w:rPr>
  </w:style>
  <w:style w:type="paragraph" w:styleId="Paragraph">
    <w:name w:val="paragraph"/>
    <w:basedOn w:val="Normal"/>
    <w:qFormat/>
    <w:pPr>
      <w:spacing w:before="280" w:after="280"/>
    </w:pPr>
    <w:rPr>
      <w:lang w:val="fr-F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26.png"/>
</Relationships>
</file>

<file path=word/_rels/header2.xml.rels><?xml version="1.0" encoding="UTF-8"?>
<Relationships xmlns="http://schemas.openxmlformats.org/package/2006/relationships"><Relationship Id="rId1" Type="http://schemas.openxmlformats.org/officeDocument/2006/relationships/image" Target="media/image27.png"/>
</Relationships>
</file>

<file path=docProps/app.xml><?xml version="1.0" encoding="utf-8"?>
<Properties xmlns="http://schemas.openxmlformats.org/officeDocument/2006/extended-properties" xmlns:vt="http://schemas.openxmlformats.org/officeDocument/2006/docPropsVTypes">
  <Template>Normal.dotm</Template>
  <TotalTime>0</TotalTime>
  <Application>LibreOffice/5.3.6.1$Linux_X86_64 LibreOffice_project/30$Build-1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2022-04-06T16:03:00Z</dcterms:created>
  <dc:creator/>
  <dc:description/>
  <dc:language>en-GB</dc:language>
  <cp:lastModifiedBy/>
  <cp:lastPrinted>2021-03-30T14:31:00Z</cp:lastPrinted>
  <dcterms:modified xsi:type="dcterms:W3CDTF">2022-04-06T16:03:00Z</dcterms:modified>
  <cp:revision>2</cp:revision>
  <dc:subject/>
  <dc:title>Article 1 : Mise à disposition d’un local</dc:title>
</cp:coreProperties>
</file>